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A0" w:rsidRPr="008766A0" w:rsidRDefault="008766A0" w:rsidP="008766A0">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bookmarkStart w:id="0" w:name="_GoBack"/>
      <w:bookmarkEnd w:id="0"/>
      <w:r w:rsidRPr="008766A0">
        <w:rPr>
          <w:rFonts w:ascii="Times New Roman" w:eastAsia="Times New Roman" w:hAnsi="Times New Roman" w:cs="Times New Roman"/>
          <w:b/>
          <w:sz w:val="28"/>
          <w:szCs w:val="24"/>
          <w:lang w:val="sr-Latn-RS" w:eastAsia="sr-Latn-RS"/>
        </w:rPr>
        <w:t>LJUDSKI RESURSI U MEDIJIMA: KONTINUIRANO OBRAZOVANJE KAO KLJUČ SAVREMENOG POSLOVANJA</w:t>
      </w:r>
      <w:r w:rsidRPr="008766A0">
        <w:rPr>
          <w:rFonts w:ascii="Times New Roman" w:eastAsia="Times New Roman" w:hAnsi="Times New Roman" w:cs="Times New Roman"/>
          <w:sz w:val="24"/>
          <w:szCs w:val="24"/>
          <w:lang w:val="sr-Latn-RS" w:eastAsia="sr-Latn-RS"/>
        </w:rPr>
        <w:br/>
        <w:t>Dragana Stefanović</w:t>
      </w:r>
      <w:r w:rsidRPr="008766A0">
        <w:rPr>
          <w:rFonts w:ascii="Times New Roman" w:eastAsia="Times New Roman" w:hAnsi="Times New Roman" w:cs="Times New Roman"/>
          <w:sz w:val="24"/>
          <w:szCs w:val="24"/>
          <w:lang w:val="sr-Latn-RS" w:eastAsia="sr-Latn-RS"/>
        </w:rPr>
        <w:br/>
        <w:t>ORCID ID: 0009-0000-8865-8816</w:t>
      </w:r>
      <w:r w:rsidRPr="008766A0">
        <w:rPr>
          <w:rFonts w:ascii="Times New Roman" w:eastAsia="Times New Roman" w:hAnsi="Times New Roman" w:cs="Times New Roman"/>
          <w:sz w:val="24"/>
          <w:szCs w:val="24"/>
          <w:lang w:val="sr-Latn-RS" w:eastAsia="sr-Latn-RS"/>
        </w:rPr>
        <w:br/>
        <w:t>Fakultet za ekonomiju i inženjerski menadžment, Novi Sad, Srbija</w:t>
      </w:r>
      <w:r w:rsidRPr="008766A0">
        <w:rPr>
          <w:rFonts w:ascii="Times New Roman" w:eastAsia="Times New Roman" w:hAnsi="Times New Roman" w:cs="Times New Roman"/>
          <w:sz w:val="24"/>
          <w:szCs w:val="24"/>
          <w:lang w:val="sr-Latn-RS" w:eastAsia="sr-Latn-RS"/>
        </w:rPr>
        <w:br/>
        <w:t>e-mail: draganavstefanovic@gmail.com</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b/>
          <w:sz w:val="24"/>
          <w:szCs w:val="24"/>
          <w:lang w:val="sr-Latn-RS" w:eastAsia="sr-Latn-RS"/>
        </w:rPr>
        <w:t>Apstrakt:</w:t>
      </w:r>
      <w:r w:rsidR="00A11699">
        <w:rPr>
          <w:rFonts w:ascii="Times New Roman" w:eastAsia="Times New Roman" w:hAnsi="Times New Roman" w:cs="Times New Roman"/>
          <w:sz w:val="24"/>
          <w:szCs w:val="24"/>
          <w:lang w:val="sr-Latn-RS" w:eastAsia="sr-Latn-RS"/>
        </w:rPr>
        <w:t xml:space="preserve"> Medijska industrija koja se ubrzano razvija</w:t>
      </w:r>
      <w:r w:rsidRPr="008766A0">
        <w:rPr>
          <w:rFonts w:ascii="Times New Roman" w:eastAsia="Times New Roman" w:hAnsi="Times New Roman" w:cs="Times New Roman"/>
          <w:sz w:val="24"/>
          <w:szCs w:val="24"/>
          <w:lang w:val="sr-Latn-RS" w:eastAsia="sr-Latn-RS"/>
        </w:rPr>
        <w:t xml:space="preserve"> funkcioniše u uslovima stalnih i dinamičnih promena u visoko konkurentnom okruženju, što predstavlja ključni preduslov njenog opstanka i daljeg razvoja. U tom kontekstu, organizacije sve više usmeravaju pažnju na strateško upravljanje ljudskim resursima, posebno u oblastima privlačenja i zadržavanja kvalifikovanog kadra, kao i unapređenja ukupne produktivnosti zaposlenih. Promene u savremenom svetu rada, uslovljene razvojem novih tehnologija, alata i metodologija, čine kontinuirano učenje nužnim, jer relevantne veštine brzo zastarevaju. Istovremeno, ostvarivanje organizacionih ciljeva zahteva radnu snagu sposobnu da se prilagođava tržišnim promenama, pri čemu upravljanje ljudskim resursima ima ključnu ulogu u predviđanju jazova u kompetencijama i planiranju aktivnosti obuke. Pored toga, kontinuirano obrazovanje doprinosi privlačenju i zadržavanju talenata, jer savremeni zaposleni sve više vrednuju mogućnosti profesionalnog razvoja i napredovanja u karijeri.</w:t>
      </w:r>
      <w:r w:rsidRPr="008766A0">
        <w:rPr>
          <w:rFonts w:ascii="Times New Roman" w:eastAsia="Times New Roman" w:hAnsi="Times New Roman" w:cs="Times New Roman"/>
          <w:sz w:val="24"/>
          <w:szCs w:val="24"/>
          <w:lang w:val="sr-Latn-RS" w:eastAsia="sr-Latn-RS"/>
        </w:rPr>
        <w:br/>
        <w:t>Primarno istraživanje sprovedeno je sa ciljem ispitivanja u kojoj meri institucionalne prakse obrazovanja i profesionalnog razvoja u medijskim organizacijama doprinose razvoju profesionalnih kompetencija zaposlenih, njihovoj prilagodljivosti savremenim zahtevima profesije, kao i usklađenosti sa strateškim ciljevima i profesionalnim standardima. Uzorak je formiran namernim uzorkovanjem i obuhvatio je zaposlene u medijskim organizacijama u Republici Srbiji (n = 274). Podaci su prikupljeni u periodu od decembra 2025. do januara 2026. godine. Rezultati pokazuju da kontinuirano obrazovanje ima dvostruki efekat u medijskom sektoru: povećava motivaciju zaposlenih i jača sposobnost medijskih organizacija da se prilagode tržišnim promenama, što ima značajne implikacije za strateško upravljanje ljudskim resursima u savremenim medijima.</w:t>
      </w:r>
      <w:r w:rsidRPr="008766A0">
        <w:rPr>
          <w:rFonts w:ascii="Times New Roman" w:eastAsia="Times New Roman" w:hAnsi="Times New Roman" w:cs="Times New Roman"/>
          <w:sz w:val="24"/>
          <w:szCs w:val="24"/>
          <w:lang w:val="sr-Latn-RS" w:eastAsia="sr-Latn-RS"/>
        </w:rPr>
        <w:br/>
      </w:r>
      <w:r w:rsidRPr="008766A0">
        <w:rPr>
          <w:rFonts w:ascii="Times New Roman" w:eastAsia="Times New Roman" w:hAnsi="Times New Roman" w:cs="Times New Roman"/>
          <w:b/>
          <w:sz w:val="24"/>
          <w:szCs w:val="24"/>
          <w:lang w:val="sr-Latn-RS" w:eastAsia="sr-Latn-RS"/>
        </w:rPr>
        <w:t>Ključne reči:</w:t>
      </w:r>
      <w:r w:rsidRPr="008766A0">
        <w:rPr>
          <w:rFonts w:ascii="Times New Roman" w:eastAsia="Times New Roman" w:hAnsi="Times New Roman" w:cs="Times New Roman"/>
          <w:sz w:val="24"/>
          <w:szCs w:val="24"/>
          <w:lang w:val="sr-Latn-RS" w:eastAsia="sr-Latn-RS"/>
        </w:rPr>
        <w:t xml:space="preserve"> ljudski resursi, mediji, obrazovanje, kompetencije, profesionalni razvoj</w:t>
      </w:r>
      <w:r w:rsidRPr="008766A0">
        <w:rPr>
          <w:rFonts w:ascii="Times New Roman" w:eastAsia="Times New Roman" w:hAnsi="Times New Roman" w:cs="Times New Roman"/>
          <w:sz w:val="24"/>
          <w:szCs w:val="24"/>
          <w:lang w:val="sr-Latn-RS" w:eastAsia="sr-Latn-RS"/>
        </w:rPr>
        <w:br/>
        <w:t>Oblast: društvene nauke</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8766A0" w:rsidRPr="008766A0" w:rsidRDefault="008766A0" w:rsidP="00AB290F">
      <w:pPr>
        <w:pStyle w:val="a4"/>
        <w:numPr>
          <w:ilvl w:val="0"/>
          <w:numId w:val="6"/>
        </w:numPr>
        <w:spacing w:after="0" w:line="240" w:lineRule="auto"/>
        <w:ind w:left="0"/>
        <w:jc w:val="center"/>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UVOD</w:t>
      </w:r>
    </w:p>
    <w:p w:rsidR="008766A0" w:rsidRPr="008766A0" w:rsidRDefault="008766A0" w:rsidP="00AB290F">
      <w:pPr>
        <w:spacing w:after="0"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br/>
        <w:t>Kontinuirano obrazovanje i profesionalni razvoj zaposlenih u savremenom medijskom sistemu predstavljaju jedan od najvažnijih segmenata upravljanja ljudskim resursima u medijskim organizacijama. Promene u procesima proizvodnje medijskih sadržaja, digitalnim platformama i normativnom okviru medijskog diskursa nameću potrebu za stalnim razvojem profesionalnih kompetencija i sposobnosti prilagođavanja zaposlenih. Razvoj kompetencija zaposlenih, uključujući i medijske profesionalce, zasniva se na integraciji formalnog, neformalnog i informalnog učenja, koje se realizuje kroz interne obrazovne programe, specijalizovane obuke, mentorstvo i učenje kroz rad. Ovi mehanizmi doprinose unapređenju tehničkih, analitičkih i etičkih kompetencija zaposlenih, kao i jačanju organizacione efikasno</w:t>
      </w:r>
      <w:r w:rsidR="00A11699">
        <w:rPr>
          <w:rFonts w:ascii="Times New Roman" w:eastAsia="Times New Roman" w:hAnsi="Times New Roman" w:cs="Times New Roman"/>
          <w:sz w:val="24"/>
          <w:szCs w:val="24"/>
          <w:lang w:val="sr-Latn-RS" w:eastAsia="sr-Latn-RS"/>
        </w:rPr>
        <w:t>sti. U tom smislu, Becker et al.</w:t>
      </w:r>
      <w:r w:rsidRPr="008766A0">
        <w:rPr>
          <w:rFonts w:ascii="Times New Roman" w:eastAsia="Times New Roman" w:hAnsi="Times New Roman" w:cs="Times New Roman"/>
          <w:sz w:val="24"/>
          <w:szCs w:val="24"/>
          <w:lang w:val="sr-Latn-RS" w:eastAsia="sr-Latn-RS"/>
        </w:rPr>
        <w:t xml:space="preserve"> (2006) ističu da veliki dnevni listovi u SAD uglavnom zapošljavaju iskusne novinare, što ukazuje na potrebu ulaganja u obuku kako bi oni pratili tehnološke promene.</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lastRenderedPageBreak/>
        <w:t>Savremeni razvoj ljudskih resursa oblikovan je međusobno povezanim trendovima koji značajno redefinišu ulogu HR funkcije. Digitalizacija i primena HR tehnologija, uključujući analitiku, sisteme za praćenje kandidata i platforme za angažovanost zaposlenih, omogućavaju donošenje odluka zasnovanih na podacima i povećavaju efikasnost HR procesa. Istovremeno, sve veći fokus na iskustvo zaposlenih, blagostanje i balans između posla i privatnog života zahteva dublje razumevanje ljudskog ponašanja i faktora koji utiču na produktivnost i zadržavanje zaposlenih. Globalizacija i rastuća raznolikost radne snage nameću potrebu za razvojem kulturnih kompetencija i upravljanjem interkulturalnim odnosima. Konačno, integracija veštačke inteligencije i automatizacije u procese zapošljavanja, upravljanja učinkom i obuke transformiše tradicionalne HR prakse i proširuje stratešku ulogu HR stručnjaka (Westover, 2025).</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 savremenom poslovnom okruženju, koje karakterišu ubrzane tehnološke promene i rastuća konkurencija, ljudski resursi su postali ključni pokretač organizacione efikasnosti i održive konkurentske prednosti. Znanje, veštine i sposobnost prilagođavanja zaposlenih sve više se prepoznaju kao centralni organizacioni resursi, posebno u sektorima zasnovanim na informacijama i kreativnosti, kao što su mediji. U tom kontekstu, razvoj zaposlenih prevazilazi okvire povremenih obuka i postaje strateška komponenta savremenog upravljanja ljudskim resursima (Drucker, 1999; Dessler, 2020).</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Medijska industrija, suočena sa digitalizacijom, medijskom konvergencijom i transformacijama profesionalnih uloga, u velikoj meri zavisi od kontinuiranog unapređenja znanja i kompetencija zaposlenih. Promene u tehnologiji, radnim procesima i odnosima sa publikom zahtevaju od medijskih profesionalaca da se neprestano prilagođavaju i usvajaju nove veštine kako bi održali kvalitet sadržaja i profesionalne standarde. Istraživanja ukazuju da su fleksibilnost, celoživotno učenje i profesionalni razvoj postali neophodni elementi rada u savremenim medijskim organizacijama (Deuze, 2007; Castells, 2010; Pavlik, 2013). U tom kontekstu, kontinuirano obrazovanje medijskih zaposlenih predstavlja ključni mehanizam za odgovor na strukturne promene savremenog poslovanja. Ono omogućava ne samo tehnološko prilagođavanje, već i jačanje organizacionih kapaciteta, inovativnosti i dugoročne održivosti medijskih organizacija. Savremeni pristupi upravljanju ljudskim resursima stoga naglašavaju sistematsko ulaganje u obrazovanje i razvoj zaposlenih kao preduslov uspešnog poslovanja u dinamičnom i neizvesnom medijskom okruženju (OECD, 2019; Dessler, 2020).</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8766A0" w:rsidRDefault="008766A0" w:rsidP="008766A0">
      <w:pPr>
        <w:numPr>
          <w:ilvl w:val="0"/>
          <w:numId w:val="2"/>
        </w:num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PREGLED LITERATURE</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Savremeno, visoko dinamično medijsko okruženje dovelo je do značajnih promena na tržištu rada, stvarajući složen i izazovan okvir za strateško upravljanje ljudskim resursima u medijskim organizacijama. Istovremeno, ubrzani tehnološki razvoj nameće potrebu za kontinuiranim i prilagodljivim oblicima obrazovanja zaposlenih kako bi se održao korak sa novim medijskim praksama. Konačno, rastuća uloga društvenih medija povećala je vidljivost i internih i eksternih aktera, što dodatno utiče na sposobnost organizacija da efikasno upravljaju kriznim situacijama (Costello &amp; Oliver, 2018).</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 xml:space="preserve">Kontinuirano učenje predstavlja integralnu komponentu prilagođavanja stalno promenljivim trendovima i tehnologijama. HR stručnjaci moraju biti dobro upoznati sa najnovijim marketinškim strategijama kako bi izgradili snažnu radnu snagu sposobnu da odgovori savremenim poslovnim zahtevima u globalizovanom i visokotehnološkom okruženju (Huynh, </w:t>
      </w:r>
      <w:r w:rsidRPr="008766A0">
        <w:rPr>
          <w:rFonts w:ascii="Times New Roman" w:eastAsia="Times New Roman" w:hAnsi="Times New Roman" w:cs="Times New Roman"/>
          <w:sz w:val="24"/>
          <w:szCs w:val="24"/>
          <w:lang w:val="sr-Latn-RS" w:eastAsia="sr-Latn-RS"/>
        </w:rPr>
        <w:lastRenderedPageBreak/>
        <w:t>2024; Holistique Training, 2023). U tom kontekstu, kontinuirano unapređenje i učenje nisu opcija, već predstavljaju suštinske elemente upravljanja ljudskim resursima u savremenim organizacijama (Rode et al., 2022). Istraživanja pokazuju da organizacije koje ulažu resurse u kontinuirano obrazovanje beleže povećanu fleksibilnost radne snage, efikasnost i inovativnost, što je ključno za održavanje konkurentske prednosti u digitalnoj ekonomiji (Hasan et al., 2024). Sličan stav iznose Benabed i Messaoudi (2025), koji ističu da savremeno upravljanje ljudskim resursima ima stratešku ulogu u ostvarivanju organizacionih ciljeva i da je kontinuirano obrazovanje zaposlenih ključni faktor u razvoju fleksibilnosti, inovacija i održivosti poslovanja. Uloga HR stručnjaka se brzo menja, zahtevajući kontinuirano obrazovanje radi upravljanja digitalnom transformacijom i održavanja relevantnosti na savremenom tržištu (Zhang &amp; Chen, 2023). Dabić et al. (2023) idu korak dalje, tvrdeći da je digitalizacija suštinski transformisala prirodu rada, čineći kontinuirano obrazovanje neophodnim za HR u podršci održivom upravljanju ljudskim resursima. Efikasno upravljanje ljudskim kapitalom kroz kontinuirano obrazovanje doprinosi jačanju organizacione kulture i ukupne poslovne efikasnosti, što je od ključnog značaja za medijske kompanije u savremenom dobu (Siocon, 2023).</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8766A0" w:rsidRDefault="008766A0" w:rsidP="008766A0">
      <w:pPr>
        <w:numPr>
          <w:ilvl w:val="0"/>
          <w:numId w:val="3"/>
        </w:numPr>
        <w:spacing w:before="100" w:beforeAutospacing="1" w:after="100" w:afterAutospacing="1" w:line="240" w:lineRule="auto"/>
        <w:ind w:left="357" w:hanging="357"/>
        <w:jc w:val="center"/>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PODACI, METODOLOGIJ</w:t>
      </w:r>
      <w:r>
        <w:rPr>
          <w:rFonts w:ascii="Times New Roman" w:eastAsia="Times New Roman" w:hAnsi="Times New Roman" w:cs="Times New Roman"/>
          <w:sz w:val="24"/>
          <w:szCs w:val="24"/>
          <w:lang w:val="sr-Latn-RS" w:eastAsia="sr-Latn-RS"/>
        </w:rPr>
        <w:t>A I STILIZOVANE ČINJENICE</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Primarno istraživanje je osmišljeno sa ciljem da ispita način i obim u kojem institucionalne prakse obrazovanja i profesionalnog razvoja u medijskim organizacijama doprinose razvoju profesionalnih kompetencija zaposlenih, njihovoj profesionalnoj prilagodljivosti savremenim zahtevima medijske profesije, kao i usklađenosti ovih praksi sa strateškim ciljevima organizacije i važećim profesionalnim standardima. U tom smislu, formulisane su dve istraživačke hipoteze:</w:t>
      </w:r>
      <w:r w:rsidRPr="008766A0">
        <w:rPr>
          <w:rFonts w:ascii="Times New Roman" w:eastAsia="Times New Roman" w:hAnsi="Times New Roman" w:cs="Times New Roman"/>
          <w:sz w:val="24"/>
          <w:szCs w:val="24"/>
          <w:lang w:val="sr-Latn-RS" w:eastAsia="sr-Latn-RS"/>
        </w:rPr>
        <w:br/>
        <w:t>H1. Kontinuirano obrazovanje značajno povećava motivaciju zaposlenih u medijima.</w:t>
      </w:r>
      <w:r w:rsidRPr="008766A0">
        <w:rPr>
          <w:rFonts w:ascii="Times New Roman" w:eastAsia="Times New Roman" w:hAnsi="Times New Roman" w:cs="Times New Roman"/>
          <w:sz w:val="24"/>
          <w:szCs w:val="24"/>
          <w:lang w:val="sr-Latn-RS" w:eastAsia="sr-Latn-RS"/>
        </w:rPr>
        <w:br/>
        <w:t>H2. Medijske organizacije koje ulažu u znanje zaposlenih lakše se prilagođavaju tržišnim promenama.</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Podaci su prikupljeni putem Google Forms platforme. Uzorak je formiran metodom namernog uzorkovanja i obuhvatio je zaposlene u medijskom sektoru u Republici Srbiji. Pre izrade konačne verzije upitnika, sprovedeno je pilot istraživanje na uzorku od 25 ispitanika radi ispitivanja sadržajne validnosti mernih instrumenata. Na osnovu rezultata pilot studije izvršene su odgovarajuće korekcije, nakon čega je formulisana finalna verzija upitnika. Glavno istraživanje je zatim sprovedeno na nezavisnom uzorku od 274 ispitanika (n = 274). Prikupljanje podataka realizovano je u periodu od decembra 2025. do januara 2026. godine.</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Upitnik se sastojao iz tri dela. Prvi deo obuhvatao je opšta pitanja o polu, nivou obrazovanja, starosti, tipu sektora u kojem su ispitanici zaposleni, radnom iskustvu u medijima i poziciji u organizaciji. U drugom delu ispitanici su procenjivali značaj kontinuiranog obrazovanja, dok se treći deo odnosio na procenu praksi obrazovanja i profesionalnog razvoja u organizacijama. Za statističku obradu podataka primenjene su metode deskriptivne statistike (mere centralne tendencije, varijabilnosti i asimetrije), kao i neparametarske tehnike za testiranje hipoteza. Podaci su obrađeni u programu IBM SPSS.</w:t>
      </w:r>
    </w:p>
    <w:p w:rsidR="00AB290F" w:rsidRPr="008766A0" w:rsidRDefault="00AB290F"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AB290F" w:rsidRDefault="008766A0" w:rsidP="00AB290F">
      <w:pPr>
        <w:numPr>
          <w:ilvl w:val="0"/>
          <w:numId w:val="4"/>
        </w:num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lastRenderedPageBreak/>
        <w:t>EMPIRIJSKI REZULTATI I DISKUSIJA</w:t>
      </w:r>
      <w:r w:rsidRPr="008766A0">
        <w:rPr>
          <w:rFonts w:ascii="Times New Roman" w:eastAsia="Times New Roman" w:hAnsi="Times New Roman" w:cs="Times New Roman"/>
          <w:sz w:val="24"/>
          <w:szCs w:val="24"/>
          <w:lang w:val="sr-Latn-RS" w:eastAsia="sr-Latn-RS"/>
        </w:rPr>
        <w:br/>
      </w:r>
    </w:p>
    <w:p w:rsidR="008766A0" w:rsidRPr="008766A0" w:rsidRDefault="008766A0" w:rsidP="00AB290F">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Uzorak istraživanja obuhvatio je 274 ispitanika zaposlena u medijskom sektoru. Žene su bile nešto zastupljenije (55,1%) u odnosu na muškarce (44,9%). U pogledu nivoa obrazovanja, najveći udeo ispitanika ima visoko obrazovanje (40,1%), dok skoro jedna petina poseduje master diplomu (1</w:t>
      </w:r>
      <w:r w:rsidR="000D21F3">
        <w:rPr>
          <w:rFonts w:ascii="Times New Roman" w:eastAsia="Times New Roman" w:hAnsi="Times New Roman" w:cs="Times New Roman"/>
          <w:sz w:val="24"/>
          <w:szCs w:val="24"/>
          <w:lang w:val="sr-Latn-RS" w:eastAsia="sr-Latn-RS"/>
        </w:rPr>
        <w:t>8,2%), a mali broj ima doktorat</w:t>
      </w:r>
      <w:r w:rsidRPr="008766A0">
        <w:rPr>
          <w:rFonts w:ascii="Times New Roman" w:eastAsia="Times New Roman" w:hAnsi="Times New Roman" w:cs="Times New Roman"/>
          <w:sz w:val="24"/>
          <w:szCs w:val="24"/>
          <w:lang w:val="sr-Latn-RS" w:eastAsia="sr-Latn-RS"/>
        </w:rPr>
        <w:t xml:space="preserve"> (PhD) (1,5%). U odnosu na tip medija, većina ispitanika je zaposlena na televiziji (53,6%), zatim u štampanim medijima (17,9%) i onlajn medijima (17,2%), dok su radio i novinske agencije manje zastupljene. Zaposlenost je pretežno koncentrisana u državnom sektoru (90,5%). </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 pogledu radnog iskustva, većina ispitanika ima više od deset godina iskustva u medijskoj industriji (70,1%), što ukazuje na visoko iskusnu strukturu uzorka. U odnosu na poziciju u organizaciji, novinari (35,4%) i urednici (27,0%) čine najveće grupe, dok su tehničko osoblje, menadžment i ostale pozicije manje zastupljene. Detaljniji podaci prikazani su u Tabeli 1. Prosečna starost ispitanika iznosi 47 godina, medijana 48, a mod 44 godine.</w:t>
      </w:r>
    </w:p>
    <w:p w:rsidR="000D21F3" w:rsidRDefault="000D21F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Tabela 1. Statistika</w:t>
      </w:r>
    </w:p>
    <w:tbl>
      <w:tblPr>
        <w:tblW w:w="8647" w:type="dxa"/>
        <w:jc w:val="center"/>
        <w:tblLayout w:type="fixed"/>
        <w:tblCellMar>
          <w:left w:w="0" w:type="dxa"/>
          <w:right w:w="0" w:type="dxa"/>
        </w:tblCellMar>
        <w:tblLook w:val="0000" w:firstRow="0" w:lastRow="0" w:firstColumn="0" w:lastColumn="0" w:noHBand="0" w:noVBand="0"/>
      </w:tblPr>
      <w:tblGrid>
        <w:gridCol w:w="1418"/>
        <w:gridCol w:w="2126"/>
        <w:gridCol w:w="992"/>
        <w:gridCol w:w="1134"/>
        <w:gridCol w:w="1560"/>
        <w:gridCol w:w="1417"/>
      </w:tblGrid>
      <w:tr w:rsidR="000D21F3" w:rsidRPr="00273751" w:rsidTr="00E80565">
        <w:trPr>
          <w:cantSplit/>
          <w:trHeight w:val="802"/>
          <w:jc w:val="center"/>
        </w:trPr>
        <w:tc>
          <w:tcPr>
            <w:tcW w:w="3544" w:type="dxa"/>
            <w:gridSpan w:val="2"/>
            <w:tcBorders>
              <w:top w:val="nil"/>
              <w:left w:val="nil"/>
              <w:bottom w:val="single" w:sz="8" w:space="0" w:color="152935"/>
              <w:right w:val="nil"/>
            </w:tcBorders>
            <w:shd w:val="clear" w:color="auto" w:fill="FFFFFF"/>
            <w:vAlign w:val="bottom"/>
          </w:tcPr>
          <w:p w:rsidR="000D21F3" w:rsidRPr="00107D09" w:rsidRDefault="000D21F3" w:rsidP="00E80565">
            <w:pPr>
              <w:spacing w:after="0" w:line="240" w:lineRule="auto"/>
              <w:jc w:val="both"/>
              <w:rPr>
                <w:rFonts w:ascii="Times New Roman" w:hAnsi="Times New Roman" w:cs="Times New Roman"/>
                <w:sz w:val="20"/>
                <w:szCs w:val="20"/>
              </w:rPr>
            </w:pPr>
          </w:p>
        </w:tc>
        <w:tc>
          <w:tcPr>
            <w:tcW w:w="992" w:type="dxa"/>
            <w:tcBorders>
              <w:top w:val="nil"/>
              <w:left w:val="nil"/>
              <w:bottom w:val="single" w:sz="8" w:space="0" w:color="152935"/>
              <w:right w:val="single" w:sz="8" w:space="0" w:color="E0E0E0"/>
            </w:tcBorders>
            <w:shd w:val="clear" w:color="auto" w:fill="FFFFFF"/>
            <w:vAlign w:val="bottom"/>
          </w:tcPr>
          <w:p w:rsidR="000D21F3" w:rsidRPr="007443BD" w:rsidRDefault="007443BD" w:rsidP="00E80565">
            <w:pPr>
              <w:spacing w:after="0" w:line="240" w:lineRule="auto"/>
              <w:jc w:val="center"/>
              <w:rPr>
                <w:rFonts w:ascii="Times New Roman" w:hAnsi="Times New Roman" w:cs="Times New Roman"/>
                <w:sz w:val="20"/>
                <w:szCs w:val="20"/>
                <w:lang w:val="sr-Latn-RS"/>
              </w:rPr>
            </w:pPr>
            <w:r>
              <w:rPr>
                <w:rFonts w:ascii="Times New Roman" w:hAnsi="Times New Roman" w:cs="Times New Roman"/>
                <w:sz w:val="20"/>
                <w:szCs w:val="20"/>
              </w:rPr>
              <w:t>Fre</w:t>
            </w:r>
            <w:r>
              <w:rPr>
                <w:rFonts w:ascii="Times New Roman" w:hAnsi="Times New Roman" w:cs="Times New Roman"/>
                <w:sz w:val="20"/>
                <w:szCs w:val="20"/>
                <w:lang w:val="sr-Latn-RS"/>
              </w:rPr>
              <w:t>kvencija</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0D21F3" w:rsidRPr="007443BD" w:rsidRDefault="007443BD" w:rsidP="00E80565">
            <w:pPr>
              <w:spacing w:after="0" w:line="240" w:lineRule="auto"/>
              <w:jc w:val="center"/>
              <w:rPr>
                <w:rFonts w:ascii="Times New Roman" w:hAnsi="Times New Roman" w:cs="Times New Roman"/>
                <w:sz w:val="20"/>
                <w:szCs w:val="20"/>
                <w:lang w:val="sr-Latn-RS"/>
              </w:rPr>
            </w:pPr>
            <w:r>
              <w:rPr>
                <w:rFonts w:ascii="Times New Roman" w:hAnsi="Times New Roman" w:cs="Times New Roman"/>
                <w:sz w:val="20"/>
                <w:szCs w:val="20"/>
              </w:rPr>
              <w:t>P</w:t>
            </w:r>
            <w:r>
              <w:rPr>
                <w:rFonts w:ascii="Times New Roman" w:hAnsi="Times New Roman" w:cs="Times New Roman"/>
                <w:sz w:val="20"/>
                <w:szCs w:val="20"/>
                <w:lang w:val="sr-Latn-RS"/>
              </w:rPr>
              <w:t>rocenat</w:t>
            </w:r>
          </w:p>
        </w:tc>
        <w:tc>
          <w:tcPr>
            <w:tcW w:w="1560" w:type="dxa"/>
            <w:tcBorders>
              <w:top w:val="nil"/>
              <w:left w:val="single" w:sz="8" w:space="0" w:color="E0E0E0"/>
              <w:bottom w:val="single" w:sz="8" w:space="0" w:color="152935"/>
              <w:right w:val="single" w:sz="8" w:space="0" w:color="E0E0E0"/>
            </w:tcBorders>
            <w:shd w:val="clear" w:color="auto" w:fill="FFFFFF"/>
            <w:vAlign w:val="bottom"/>
          </w:tcPr>
          <w:p w:rsidR="000D21F3" w:rsidRPr="007443BD" w:rsidRDefault="007443BD" w:rsidP="00E80565">
            <w:pPr>
              <w:spacing w:after="0" w:line="240" w:lineRule="auto"/>
              <w:jc w:val="center"/>
              <w:rPr>
                <w:rFonts w:ascii="Times New Roman" w:hAnsi="Times New Roman" w:cs="Times New Roman"/>
                <w:sz w:val="20"/>
                <w:szCs w:val="20"/>
                <w:lang w:val="sr-Latn-RS"/>
              </w:rPr>
            </w:pPr>
            <w:r>
              <w:rPr>
                <w:rFonts w:ascii="Times New Roman" w:hAnsi="Times New Roman" w:cs="Times New Roman"/>
                <w:sz w:val="20"/>
                <w:szCs w:val="20"/>
              </w:rPr>
              <w:t>Valid</w:t>
            </w:r>
            <w:r>
              <w:rPr>
                <w:rFonts w:ascii="Times New Roman" w:hAnsi="Times New Roman" w:cs="Times New Roman"/>
                <w:sz w:val="20"/>
                <w:szCs w:val="20"/>
                <w:lang w:val="sr-Latn-RS"/>
              </w:rPr>
              <w:t>ni procenat</w:t>
            </w:r>
          </w:p>
        </w:tc>
        <w:tc>
          <w:tcPr>
            <w:tcW w:w="1417" w:type="dxa"/>
            <w:tcBorders>
              <w:top w:val="nil"/>
              <w:left w:val="single" w:sz="8" w:space="0" w:color="E0E0E0"/>
              <w:bottom w:val="single" w:sz="8" w:space="0" w:color="152935"/>
              <w:right w:val="nil"/>
            </w:tcBorders>
            <w:shd w:val="clear" w:color="auto" w:fill="FFFFFF"/>
            <w:vAlign w:val="bottom"/>
          </w:tcPr>
          <w:p w:rsidR="000D21F3" w:rsidRPr="007443BD" w:rsidRDefault="007443BD" w:rsidP="00E80565">
            <w:pPr>
              <w:spacing w:after="0" w:line="240" w:lineRule="auto"/>
              <w:jc w:val="center"/>
              <w:rPr>
                <w:rFonts w:ascii="Times New Roman" w:hAnsi="Times New Roman" w:cs="Times New Roman"/>
                <w:sz w:val="20"/>
                <w:szCs w:val="20"/>
                <w:lang w:val="sr-Latn-RS"/>
              </w:rPr>
            </w:pPr>
            <w:r>
              <w:rPr>
                <w:rFonts w:ascii="Times New Roman" w:hAnsi="Times New Roman" w:cs="Times New Roman"/>
                <w:sz w:val="20"/>
                <w:szCs w:val="20"/>
                <w:lang w:val="sr-Latn-RS"/>
              </w:rPr>
              <w:t>Kumulativni procenat</w:t>
            </w:r>
          </w:p>
        </w:tc>
      </w:tr>
      <w:tr w:rsidR="000D21F3" w:rsidRPr="00273751" w:rsidTr="00E80565">
        <w:trPr>
          <w:cantSplit/>
          <w:trHeight w:val="467"/>
          <w:jc w:val="center"/>
        </w:trPr>
        <w:tc>
          <w:tcPr>
            <w:tcW w:w="1418" w:type="dxa"/>
            <w:vMerge w:val="restart"/>
            <w:tcBorders>
              <w:top w:val="single" w:sz="8" w:space="0" w:color="152935"/>
              <w:left w:val="nil"/>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Pol</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M</w:t>
            </w:r>
            <w:r>
              <w:rPr>
                <w:rFonts w:ascii="Times New Roman" w:hAnsi="Times New Roman" w:cs="Times New Roman"/>
                <w:sz w:val="20"/>
                <w:szCs w:val="20"/>
                <w:lang w:val="sr-Latn-RS"/>
              </w:rPr>
              <w:t>uški</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123</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44.9</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44.9</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44.9</w:t>
            </w:r>
          </w:p>
        </w:tc>
      </w:tr>
      <w:tr w:rsidR="000D21F3" w:rsidRPr="00273751" w:rsidTr="00E80565">
        <w:trPr>
          <w:cantSplit/>
          <w:trHeight w:val="143"/>
          <w:jc w:val="center"/>
        </w:trPr>
        <w:tc>
          <w:tcPr>
            <w:tcW w:w="1418" w:type="dxa"/>
            <w:vMerge/>
            <w:tcBorders>
              <w:left w:val="nil"/>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Ženski</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151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55.1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55.1</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trHeight w:val="143"/>
          <w:jc w:val="center"/>
        </w:trPr>
        <w:tc>
          <w:tcPr>
            <w:tcW w:w="1418" w:type="dxa"/>
            <w:vMerge/>
            <w:tcBorders>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p>
        </w:tc>
      </w:tr>
      <w:tr w:rsidR="000D21F3" w:rsidRPr="00273751" w:rsidTr="00E80565">
        <w:trPr>
          <w:cantSplit/>
          <w:trHeight w:val="467"/>
          <w:jc w:val="center"/>
        </w:trPr>
        <w:tc>
          <w:tcPr>
            <w:tcW w:w="1418" w:type="dxa"/>
            <w:vMerge w:val="restart"/>
            <w:tcBorders>
              <w:top w:val="single" w:sz="8" w:space="0" w:color="152935"/>
              <w:left w:val="nil"/>
              <w:bottom w:val="single" w:sz="8" w:space="0" w:color="152935"/>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Nivo obrazovanja</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Srednja škola</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79</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28.8</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28.8</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28.8</w:t>
            </w:r>
          </w:p>
        </w:tc>
      </w:tr>
      <w:tr w:rsidR="000D21F3" w:rsidRPr="00273751" w:rsidTr="00E80565">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Viša škola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31</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11.3</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11.3</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40.1</w:t>
            </w:r>
          </w:p>
        </w:tc>
      </w:tr>
      <w:tr w:rsidR="000D21F3" w:rsidRPr="00273751" w:rsidTr="00E80565">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Fa</w:t>
            </w:r>
            <w:r>
              <w:rPr>
                <w:rFonts w:ascii="Times New Roman" w:hAnsi="Times New Roman" w:cs="Times New Roman"/>
                <w:sz w:val="20"/>
                <w:szCs w:val="20"/>
                <w:lang w:val="sr-Latn-RS"/>
              </w:rPr>
              <w:t>kultet</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40.1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40.1</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80.3</w:t>
            </w:r>
          </w:p>
        </w:tc>
      </w:tr>
      <w:tr w:rsidR="000D21F3" w:rsidRPr="00273751" w:rsidTr="00E80565">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Master</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18.2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18.2</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98.5</w:t>
            </w:r>
          </w:p>
        </w:tc>
      </w:tr>
      <w:tr w:rsidR="000D21F3" w:rsidRPr="00273751" w:rsidTr="00E80565">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Doktorat</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1.5</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trHeight w:val="143"/>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rsidR="000D21F3" w:rsidRPr="00273751" w:rsidRDefault="000D21F3" w:rsidP="00E80565">
            <w:pPr>
              <w:spacing w:after="0" w:line="240" w:lineRule="auto"/>
              <w:jc w:val="both"/>
              <w:rPr>
                <w:rFonts w:ascii="Times New Roman" w:hAnsi="Times New Roman" w:cs="Times New Roman"/>
                <w:sz w:val="20"/>
                <w:szCs w:val="20"/>
              </w:rPr>
            </w:pPr>
          </w:p>
        </w:tc>
      </w:tr>
      <w:tr w:rsidR="000D21F3" w:rsidRPr="00273751" w:rsidTr="00E80565">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Tip medijske organizacije u kojoj ste zaposleni</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Štampani mediji</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49</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17.9</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17.9</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17.9</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Televi</w:t>
            </w:r>
            <w:r>
              <w:rPr>
                <w:rFonts w:ascii="Times New Roman" w:hAnsi="Times New Roman" w:cs="Times New Roman"/>
                <w:sz w:val="20"/>
                <w:szCs w:val="20"/>
                <w:lang w:val="sr-Latn-RS"/>
              </w:rPr>
              <w:t>zija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53.6</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53.6</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71.5</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Radio</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9.9</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81.4</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On</w:t>
            </w:r>
            <w:r>
              <w:rPr>
                <w:rFonts w:ascii="Times New Roman" w:hAnsi="Times New Roman" w:cs="Times New Roman"/>
                <w:sz w:val="20"/>
                <w:szCs w:val="20"/>
                <w:lang w:val="sr-Latn-RS"/>
              </w:rPr>
              <w:t>lajn</w:t>
            </w:r>
            <w:r>
              <w:rPr>
                <w:rFonts w:ascii="Times New Roman" w:hAnsi="Times New Roman" w:cs="Times New Roman"/>
                <w:sz w:val="20"/>
                <w:szCs w:val="20"/>
              </w:rPr>
              <w:t xml:space="preserve"> med</w:t>
            </w:r>
            <w:r>
              <w:rPr>
                <w:rFonts w:ascii="Times New Roman" w:hAnsi="Times New Roman" w:cs="Times New Roman"/>
                <w:sz w:val="20"/>
                <w:szCs w:val="20"/>
                <w:lang w:val="sr-Latn-RS"/>
              </w:rPr>
              <w:t>iji</w:t>
            </w:r>
            <w:r w:rsidRPr="00273751">
              <w:rPr>
                <w:rFonts w:ascii="Times New Roman" w:hAnsi="Times New Roman" w:cs="Times New Roman"/>
                <w:sz w:val="20"/>
                <w:szCs w:val="20"/>
              </w:rPr>
              <w:t xml:space="preserve"> / portal</w:t>
            </w:r>
            <w:r>
              <w:rPr>
                <w:rFonts w:ascii="Times New Roman" w:hAnsi="Times New Roman" w:cs="Times New Roman"/>
                <w:sz w:val="20"/>
                <w:szCs w:val="20"/>
                <w:lang w:val="sr-Latn-RS"/>
              </w:rPr>
              <w:t>i</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17.2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17.2</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98.5</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A11699"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N</w:t>
            </w:r>
            <w:r>
              <w:rPr>
                <w:rFonts w:ascii="Times New Roman" w:hAnsi="Times New Roman" w:cs="Times New Roman"/>
                <w:sz w:val="20"/>
                <w:szCs w:val="20"/>
                <w:lang w:val="sr-Latn-RS"/>
              </w:rPr>
              <w:t>o</w:t>
            </w:r>
            <w:r w:rsidR="000D21F3">
              <w:rPr>
                <w:rFonts w:ascii="Times New Roman" w:hAnsi="Times New Roman" w:cs="Times New Roman"/>
                <w:sz w:val="20"/>
                <w:szCs w:val="20"/>
                <w:lang w:val="sr-Latn-RS"/>
              </w:rPr>
              <w:t>vinska agencija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1.5</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rsidR="000D21F3" w:rsidRPr="00273751" w:rsidRDefault="000D21F3" w:rsidP="00E80565">
            <w:pPr>
              <w:spacing w:after="0" w:line="240" w:lineRule="auto"/>
              <w:jc w:val="both"/>
              <w:rPr>
                <w:rFonts w:ascii="Times New Roman" w:hAnsi="Times New Roman" w:cs="Times New Roman"/>
                <w:sz w:val="20"/>
                <w:szCs w:val="20"/>
              </w:rPr>
            </w:pPr>
          </w:p>
        </w:tc>
      </w:tr>
      <w:tr w:rsidR="000D21F3" w:rsidRPr="00273751" w:rsidTr="00E80565">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Sektor zaposlenja</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Javni</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26</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9.5</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9.5</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9.5</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Državni</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248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90.5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90.5</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rsidR="000D21F3" w:rsidRPr="00273751" w:rsidRDefault="000D21F3" w:rsidP="00E80565">
            <w:pPr>
              <w:spacing w:after="0" w:line="240" w:lineRule="auto"/>
              <w:jc w:val="both"/>
              <w:rPr>
                <w:rFonts w:ascii="Times New Roman" w:hAnsi="Times New Roman" w:cs="Times New Roman"/>
                <w:sz w:val="20"/>
                <w:szCs w:val="20"/>
              </w:rPr>
            </w:pPr>
          </w:p>
        </w:tc>
      </w:tr>
      <w:tr w:rsidR="000D21F3" w:rsidRPr="00273751" w:rsidTr="00E80565">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Radno iskustvo u sektoru medija</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Manje od dve godine</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18</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6.6</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6.6</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6.6</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 xml:space="preserve">2–5 </w:t>
            </w:r>
            <w:r>
              <w:rPr>
                <w:rFonts w:ascii="Times New Roman" w:hAnsi="Times New Roman" w:cs="Times New Roman"/>
                <w:sz w:val="20"/>
                <w:szCs w:val="20"/>
                <w:lang w:val="sr-Latn-RS"/>
              </w:rPr>
              <w:t>godina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9.9</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16.4</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 xml:space="preserve">6–10 </w:t>
            </w:r>
            <w:r>
              <w:rPr>
                <w:rFonts w:ascii="Times New Roman" w:hAnsi="Times New Roman" w:cs="Times New Roman"/>
                <w:sz w:val="20"/>
                <w:szCs w:val="20"/>
                <w:lang w:val="sr-Latn-RS"/>
              </w:rPr>
              <w:t>godina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37</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13.5</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13.5</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29.9</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 xml:space="preserve">Više od </w:t>
            </w:r>
            <w:r>
              <w:rPr>
                <w:rFonts w:ascii="Times New Roman" w:hAnsi="Times New Roman" w:cs="Times New Roman"/>
                <w:sz w:val="20"/>
                <w:szCs w:val="20"/>
              </w:rPr>
              <w:t xml:space="preserve">10 </w:t>
            </w:r>
            <w:r>
              <w:rPr>
                <w:rFonts w:ascii="Times New Roman" w:hAnsi="Times New Roman" w:cs="Times New Roman"/>
                <w:sz w:val="20"/>
                <w:szCs w:val="20"/>
                <w:lang w:val="sr-Latn-RS"/>
              </w:rPr>
              <w:t>godina</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192</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70.1</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70.1</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vAlign w:val="center"/>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rsidR="000D21F3" w:rsidRPr="00273751" w:rsidRDefault="000D21F3" w:rsidP="00E80565">
            <w:pPr>
              <w:spacing w:after="0" w:line="240" w:lineRule="auto"/>
              <w:jc w:val="both"/>
              <w:rPr>
                <w:rFonts w:ascii="Times New Roman" w:hAnsi="Times New Roman" w:cs="Times New Roman"/>
                <w:sz w:val="20"/>
                <w:szCs w:val="20"/>
              </w:rPr>
            </w:pPr>
          </w:p>
        </w:tc>
      </w:tr>
      <w:tr w:rsidR="000D21F3" w:rsidRPr="00273751" w:rsidTr="00E80565">
        <w:trPr>
          <w:cantSplit/>
          <w:jc w:val="center"/>
        </w:trPr>
        <w:tc>
          <w:tcPr>
            <w:tcW w:w="1418" w:type="dxa"/>
            <w:vMerge w:val="restart"/>
            <w:tcBorders>
              <w:top w:val="single" w:sz="8" w:space="0" w:color="152935"/>
              <w:left w:val="nil"/>
              <w:bottom w:val="single" w:sz="8" w:space="0" w:color="152935"/>
              <w:right w:val="nil"/>
            </w:tcBorders>
            <w:shd w:val="clear" w:color="auto" w:fill="E0E0E0"/>
            <w:vAlign w:val="center"/>
          </w:tcPr>
          <w:p w:rsidR="000D21F3" w:rsidRPr="000D21F3" w:rsidRDefault="000D21F3"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Radno mesto u medijskoj organizaciji</w:t>
            </w:r>
          </w:p>
        </w:tc>
        <w:tc>
          <w:tcPr>
            <w:tcW w:w="2126" w:type="dxa"/>
            <w:tcBorders>
              <w:top w:val="single" w:sz="8" w:space="0" w:color="152935"/>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Novinar</w:t>
            </w:r>
          </w:p>
        </w:tc>
        <w:tc>
          <w:tcPr>
            <w:tcW w:w="992" w:type="dxa"/>
            <w:tcBorders>
              <w:top w:val="single" w:sz="8" w:space="0" w:color="152935"/>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97</w:t>
            </w: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35.4</w:t>
            </w:r>
          </w:p>
        </w:tc>
        <w:tc>
          <w:tcPr>
            <w:tcW w:w="1560" w:type="dxa"/>
            <w:tcBorders>
              <w:top w:val="single" w:sz="8" w:space="0" w:color="152935"/>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35.4</w:t>
            </w:r>
          </w:p>
        </w:tc>
        <w:tc>
          <w:tcPr>
            <w:tcW w:w="1417" w:type="dxa"/>
            <w:tcBorders>
              <w:top w:val="single" w:sz="8" w:space="0" w:color="152935"/>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35.4</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Urednik</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74</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27.0</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27.0</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62.4</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Produc</w:t>
            </w:r>
            <w:r>
              <w:rPr>
                <w:rFonts w:ascii="Times New Roman" w:hAnsi="Times New Roman" w:cs="Times New Roman"/>
                <w:sz w:val="20"/>
                <w:szCs w:val="20"/>
                <w:lang w:val="sr-Latn-RS"/>
              </w:rPr>
              <w:t>ent</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3.6</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3.6</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66.1</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Te</w:t>
            </w:r>
            <w:r>
              <w:rPr>
                <w:rFonts w:ascii="Times New Roman" w:hAnsi="Times New Roman" w:cs="Times New Roman"/>
                <w:sz w:val="20"/>
                <w:szCs w:val="20"/>
                <w:lang w:val="sr-Latn-RS"/>
              </w:rPr>
              <w:t>hničko osoblje</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39</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14.2</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14.2</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80.3</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rPr>
              <w:t>M</w:t>
            </w:r>
            <w:r>
              <w:rPr>
                <w:rFonts w:ascii="Times New Roman" w:hAnsi="Times New Roman" w:cs="Times New Roman"/>
                <w:sz w:val="20"/>
                <w:szCs w:val="20"/>
                <w:lang w:val="sr-Latn-RS"/>
              </w:rPr>
              <w:t>enadžment</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38</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13.9</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13.9</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94.2</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AEAEAE"/>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Drugo</w:t>
            </w:r>
          </w:p>
        </w:tc>
        <w:tc>
          <w:tcPr>
            <w:tcW w:w="992" w:type="dxa"/>
            <w:tcBorders>
              <w:top w:val="single" w:sz="8" w:space="0" w:color="AEAEAE"/>
              <w:left w:val="nil"/>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16</w:t>
            </w:r>
          </w:p>
        </w:tc>
        <w:tc>
          <w:tcPr>
            <w:tcW w:w="1134"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5.8</w:t>
            </w:r>
          </w:p>
        </w:tc>
        <w:tc>
          <w:tcPr>
            <w:tcW w:w="1560" w:type="dxa"/>
            <w:tcBorders>
              <w:top w:val="single" w:sz="8" w:space="0" w:color="AEAEAE"/>
              <w:left w:val="single" w:sz="8" w:space="0" w:color="E0E0E0"/>
              <w:bottom w:val="single" w:sz="8" w:space="0" w:color="AEAEAE"/>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5.8</w:t>
            </w:r>
          </w:p>
        </w:tc>
        <w:tc>
          <w:tcPr>
            <w:tcW w:w="1417" w:type="dxa"/>
            <w:tcBorders>
              <w:top w:val="single" w:sz="8" w:space="0" w:color="AEAEAE"/>
              <w:left w:val="single" w:sz="8" w:space="0" w:color="E0E0E0"/>
              <w:bottom w:val="single" w:sz="8" w:space="0" w:color="AEAEAE"/>
              <w:right w:val="nil"/>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r>
      <w:tr w:rsidR="000D21F3" w:rsidRPr="00273751" w:rsidTr="00E80565">
        <w:trPr>
          <w:cantSplit/>
          <w:jc w:val="center"/>
        </w:trPr>
        <w:tc>
          <w:tcPr>
            <w:tcW w:w="1418" w:type="dxa"/>
            <w:vMerge/>
            <w:tcBorders>
              <w:top w:val="single" w:sz="8" w:space="0" w:color="152935"/>
              <w:left w:val="nil"/>
              <w:bottom w:val="single" w:sz="8" w:space="0" w:color="152935"/>
              <w:right w:val="nil"/>
            </w:tcBorders>
            <w:shd w:val="clear" w:color="auto" w:fill="E0E0E0"/>
          </w:tcPr>
          <w:p w:rsidR="000D21F3" w:rsidRPr="00273751" w:rsidRDefault="000D21F3" w:rsidP="00E80565">
            <w:pPr>
              <w:spacing w:after="0" w:line="240" w:lineRule="auto"/>
              <w:jc w:val="both"/>
              <w:rPr>
                <w:rFonts w:ascii="Times New Roman" w:hAnsi="Times New Roman" w:cs="Times New Roman"/>
                <w:sz w:val="20"/>
                <w:szCs w:val="20"/>
              </w:rPr>
            </w:pPr>
          </w:p>
        </w:tc>
        <w:tc>
          <w:tcPr>
            <w:tcW w:w="2126" w:type="dxa"/>
            <w:tcBorders>
              <w:top w:val="single" w:sz="8" w:space="0" w:color="AEAEAE"/>
              <w:left w:val="nil"/>
              <w:bottom w:val="single" w:sz="8" w:space="0" w:color="152935"/>
              <w:right w:val="nil"/>
            </w:tcBorders>
            <w:shd w:val="clear" w:color="auto" w:fill="E0E0E0"/>
          </w:tcPr>
          <w:p w:rsidR="000D21F3" w:rsidRPr="000D21F3" w:rsidRDefault="000D21F3" w:rsidP="00E80565">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992" w:type="dxa"/>
            <w:tcBorders>
              <w:top w:val="single" w:sz="8" w:space="0" w:color="AEAEAE"/>
              <w:left w:val="nil"/>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274</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560" w:type="dxa"/>
            <w:tcBorders>
              <w:top w:val="single" w:sz="8" w:space="0" w:color="AEAEAE"/>
              <w:left w:val="single" w:sz="8" w:space="0" w:color="E0E0E0"/>
              <w:bottom w:val="single" w:sz="8" w:space="0" w:color="152935"/>
              <w:right w:val="single" w:sz="8" w:space="0" w:color="E0E0E0"/>
            </w:tcBorders>
            <w:shd w:val="clear" w:color="auto" w:fill="F9F9FB"/>
          </w:tcPr>
          <w:p w:rsidR="000D21F3" w:rsidRPr="00273751" w:rsidRDefault="000D21F3" w:rsidP="00E80565">
            <w:pPr>
              <w:spacing w:after="0" w:line="240" w:lineRule="auto"/>
              <w:jc w:val="both"/>
              <w:rPr>
                <w:rFonts w:ascii="Times New Roman" w:hAnsi="Times New Roman" w:cs="Times New Roman"/>
                <w:sz w:val="20"/>
                <w:szCs w:val="20"/>
              </w:rPr>
            </w:pPr>
            <w:r w:rsidRPr="00273751">
              <w:rPr>
                <w:rFonts w:ascii="Times New Roman" w:hAnsi="Times New Roman" w:cs="Times New Roman"/>
                <w:sz w:val="20"/>
                <w:szCs w:val="20"/>
              </w:rPr>
              <w:t>100.0</w:t>
            </w:r>
          </w:p>
        </w:tc>
        <w:tc>
          <w:tcPr>
            <w:tcW w:w="1417" w:type="dxa"/>
            <w:tcBorders>
              <w:top w:val="single" w:sz="8" w:space="0" w:color="AEAEAE"/>
              <w:left w:val="single" w:sz="8" w:space="0" w:color="E0E0E0"/>
              <w:bottom w:val="single" w:sz="8" w:space="0" w:color="152935"/>
              <w:right w:val="nil"/>
            </w:tcBorders>
            <w:shd w:val="clear" w:color="auto" w:fill="F9F9FB"/>
            <w:vAlign w:val="center"/>
          </w:tcPr>
          <w:p w:rsidR="000D21F3" w:rsidRPr="00273751" w:rsidRDefault="000D21F3" w:rsidP="00E80565">
            <w:pPr>
              <w:spacing w:after="0" w:line="240" w:lineRule="auto"/>
              <w:jc w:val="both"/>
              <w:rPr>
                <w:rFonts w:ascii="Times New Roman" w:hAnsi="Times New Roman" w:cs="Times New Roman"/>
                <w:sz w:val="20"/>
                <w:szCs w:val="20"/>
              </w:rPr>
            </w:pPr>
          </w:p>
        </w:tc>
      </w:tr>
    </w:tbl>
    <w:p w:rsidR="000D21F3" w:rsidRPr="000D21F3" w:rsidRDefault="000D21F3" w:rsidP="000D21F3">
      <w:pPr>
        <w:autoSpaceDE w:val="0"/>
        <w:autoSpaceDN w:val="0"/>
        <w:adjustRightInd w:val="0"/>
        <w:spacing w:after="0" w:line="240" w:lineRule="auto"/>
        <w:jc w:val="center"/>
        <w:rPr>
          <w:rFonts w:ascii="Times New Roman" w:hAnsi="Times New Roman" w:cs="Times New Roman"/>
          <w:sz w:val="20"/>
          <w:szCs w:val="20"/>
          <w:lang w:val="sr-Latn-RS"/>
        </w:rPr>
      </w:pPr>
      <w:r>
        <w:rPr>
          <w:rFonts w:ascii="Times New Roman" w:hAnsi="Times New Roman" w:cs="Times New Roman"/>
          <w:i/>
          <w:sz w:val="20"/>
          <w:szCs w:val="20"/>
          <w:lang w:val="sr-Latn-RS"/>
        </w:rPr>
        <w:t>Izvor</w:t>
      </w:r>
      <w:r w:rsidRPr="00273751">
        <w:rPr>
          <w:rFonts w:ascii="Times New Roman" w:hAnsi="Times New Roman" w:cs="Times New Roman"/>
          <w:i/>
          <w:sz w:val="20"/>
          <w:szCs w:val="20"/>
        </w:rPr>
        <w:t>:</w:t>
      </w:r>
      <w:r w:rsidR="000F4DC4">
        <w:rPr>
          <w:rFonts w:ascii="Times New Roman" w:hAnsi="Times New Roman" w:cs="Times New Roman"/>
          <w:sz w:val="20"/>
          <w:szCs w:val="20"/>
        </w:rPr>
        <w:t xml:space="preserve"> Aut</w:t>
      </w:r>
      <w:r>
        <w:rPr>
          <w:rFonts w:ascii="Times New Roman" w:hAnsi="Times New Roman" w:cs="Times New Roman"/>
          <w:sz w:val="20"/>
          <w:szCs w:val="20"/>
        </w:rPr>
        <w:t>or</w:t>
      </w:r>
      <w:r>
        <w:rPr>
          <w:rFonts w:ascii="Times New Roman" w:hAnsi="Times New Roman" w:cs="Times New Roman"/>
          <w:sz w:val="20"/>
          <w:szCs w:val="20"/>
          <w:lang w:val="sr-Latn-RS"/>
        </w:rPr>
        <w:t>ova</w:t>
      </w:r>
      <w:r>
        <w:rPr>
          <w:rFonts w:ascii="Times New Roman" w:hAnsi="Times New Roman" w:cs="Times New Roman"/>
          <w:sz w:val="20"/>
          <w:szCs w:val="20"/>
        </w:rPr>
        <w:t xml:space="preserve"> </w:t>
      </w:r>
      <w:r>
        <w:rPr>
          <w:rFonts w:ascii="Times New Roman" w:hAnsi="Times New Roman" w:cs="Times New Roman"/>
          <w:sz w:val="20"/>
          <w:szCs w:val="20"/>
          <w:lang w:val="sr-Latn-RS"/>
        </w:rPr>
        <w:t>kalkulacija</w:t>
      </w:r>
    </w:p>
    <w:p w:rsidR="000D21F3" w:rsidRDefault="000D21F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Samo 13,1% organizacija je navelo da redovno organizuje seminare i obuke za zaposlene, dok 46,4% to čini povremeno, 30,3% retko, a 10,2% nikada.</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Hi-kvadrat test nezavisnosti pokazao je statistički značajnu povezanost između odgovora na pitanje „Da li vaša organizacija organizuje programe obuke/seminale za zaposlene?“ i tipa medija u kojem su ispitanici zaposleni, χ²(12, n = 274) = 24,756, p = 0,016, phi = 0,301.</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Kao što je prikazano u Tabeli 2 (kros-tabelacija), vrednosti prilagođenih rezidua ukazuju da su zaposleni u štampanim medijima značajno ređe nego što se očekivalo odgovarali „Da, redovno“ (prilagođeni reziduum = –2,5), dok je kategorija „Nikada“ bila značajno učestalija nego što se očekivalo (prilagođeni reziduum = 3,1). Nasuprot tome, kod zaposlenih na televiziji, broj slučajeva u kategoriji „Nikada“ bio je manji od očekivanog.</w:t>
      </w:r>
    </w:p>
    <w:p w:rsidR="00DE3D61" w:rsidRPr="00FF738E" w:rsidRDefault="00DE3D61" w:rsidP="00DE3D61">
      <w:pPr>
        <w:spacing w:after="0"/>
        <w:jc w:val="both"/>
        <w:rPr>
          <w:rFonts w:ascii="Times New Roman" w:hAnsi="Times New Roman" w:cs="Times New Roman"/>
          <w:sz w:val="20"/>
          <w:szCs w:val="20"/>
          <w:lang w:val="sr-Latn-RS"/>
        </w:rPr>
      </w:pPr>
      <w:r w:rsidRPr="00A05634">
        <w:rPr>
          <w:rFonts w:ascii="Times New Roman" w:hAnsi="Times New Roman" w:cs="Times New Roman"/>
          <w:b/>
          <w:bCs/>
          <w:sz w:val="20"/>
          <w:szCs w:val="20"/>
        </w:rPr>
        <w:t>Table 2</w:t>
      </w:r>
      <w:r w:rsidR="00FF738E">
        <w:rPr>
          <w:rFonts w:ascii="Times New Roman" w:hAnsi="Times New Roman" w:cs="Times New Roman"/>
          <w:sz w:val="20"/>
          <w:szCs w:val="20"/>
          <w:lang w:val="sr-Latn-RS"/>
        </w:rPr>
        <w:t xml:space="preserve"> Konti</w:t>
      </w:r>
      <w:r w:rsidR="00A11699">
        <w:rPr>
          <w:rFonts w:ascii="Times New Roman" w:hAnsi="Times New Roman" w:cs="Times New Roman"/>
          <w:sz w:val="20"/>
          <w:szCs w:val="20"/>
          <w:lang w:val="sr-Latn-RS"/>
        </w:rPr>
        <w:t>n</w:t>
      </w:r>
      <w:r w:rsidR="00FF738E">
        <w:rPr>
          <w:rFonts w:ascii="Times New Roman" w:hAnsi="Times New Roman" w:cs="Times New Roman"/>
          <w:sz w:val="20"/>
          <w:szCs w:val="20"/>
          <w:lang w:val="sr-Latn-RS"/>
        </w:rPr>
        <w:t>gencijska tabela</w:t>
      </w:r>
    </w:p>
    <w:tbl>
      <w:tblPr>
        <w:tblW w:w="9854" w:type="dxa"/>
        <w:tblLayout w:type="fixed"/>
        <w:tblCellMar>
          <w:left w:w="0" w:type="dxa"/>
          <w:right w:w="0" w:type="dxa"/>
        </w:tblCellMar>
        <w:tblLook w:val="0000" w:firstRow="0" w:lastRow="0" w:firstColumn="0" w:lastColumn="0" w:noHBand="0" w:noVBand="0"/>
      </w:tblPr>
      <w:tblGrid>
        <w:gridCol w:w="1287"/>
        <w:gridCol w:w="1530"/>
        <w:gridCol w:w="1840"/>
        <w:gridCol w:w="1104"/>
        <w:gridCol w:w="1104"/>
        <w:gridCol w:w="1104"/>
        <w:gridCol w:w="1107"/>
        <w:gridCol w:w="769"/>
        <w:gridCol w:w="9"/>
      </w:tblGrid>
      <w:tr w:rsidR="000D21F3" w:rsidRPr="0000784B" w:rsidTr="00E80565">
        <w:trPr>
          <w:cantSplit/>
          <w:trHeight w:val="218"/>
        </w:trPr>
        <w:tc>
          <w:tcPr>
            <w:tcW w:w="9854" w:type="dxa"/>
            <w:gridSpan w:val="9"/>
            <w:tcBorders>
              <w:top w:val="nil"/>
              <w:left w:val="nil"/>
              <w:bottom w:val="nil"/>
              <w:right w:val="nil"/>
            </w:tcBorders>
            <w:shd w:val="clear" w:color="auto" w:fill="FFFFFF"/>
            <w:vAlign w:val="center"/>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b/>
                <w:bCs/>
                <w:sz w:val="20"/>
                <w:szCs w:val="20"/>
              </w:rPr>
              <w:t>Crosstab</w:t>
            </w:r>
          </w:p>
        </w:tc>
      </w:tr>
      <w:tr w:rsidR="000D21F3" w:rsidRPr="0000784B" w:rsidTr="00E80565">
        <w:trPr>
          <w:cantSplit/>
          <w:trHeight w:val="218"/>
        </w:trPr>
        <w:tc>
          <w:tcPr>
            <w:tcW w:w="4657" w:type="dxa"/>
            <w:gridSpan w:val="3"/>
            <w:vMerge w:val="restart"/>
            <w:tcBorders>
              <w:top w:val="nil"/>
              <w:left w:val="nil"/>
              <w:bottom w:val="nil"/>
              <w:right w:val="nil"/>
            </w:tcBorders>
            <w:shd w:val="clear" w:color="auto" w:fill="FFFFFF"/>
            <w:vAlign w:val="bottom"/>
          </w:tcPr>
          <w:p w:rsidR="000D21F3" w:rsidRPr="0000784B" w:rsidRDefault="000D21F3" w:rsidP="00E80565">
            <w:pPr>
              <w:spacing w:after="0" w:line="240" w:lineRule="auto"/>
              <w:rPr>
                <w:rFonts w:ascii="Times New Roman" w:hAnsi="Times New Roman" w:cs="Times New Roman"/>
                <w:sz w:val="20"/>
                <w:szCs w:val="20"/>
              </w:rPr>
            </w:pPr>
          </w:p>
        </w:tc>
        <w:tc>
          <w:tcPr>
            <w:tcW w:w="4419" w:type="dxa"/>
            <w:gridSpan w:val="4"/>
            <w:tcBorders>
              <w:top w:val="nil"/>
              <w:left w:val="nil"/>
              <w:bottom w:val="nil"/>
              <w:right w:val="single" w:sz="8" w:space="0" w:color="E0E0E0"/>
            </w:tcBorders>
            <w:shd w:val="clear" w:color="auto" w:fill="FFFFFF"/>
            <w:vAlign w:val="bottom"/>
          </w:tcPr>
          <w:p w:rsidR="000D21F3" w:rsidRDefault="00FF738E" w:rsidP="00FF738E">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Da li Vaša organizacija obezbeđuje programe obuke/seminara za zaposlene?</w:t>
            </w:r>
          </w:p>
          <w:p w:rsidR="00FF738E" w:rsidRPr="00FF738E" w:rsidRDefault="00FF738E" w:rsidP="00FF738E">
            <w:pPr>
              <w:spacing w:after="0" w:line="240" w:lineRule="auto"/>
              <w:rPr>
                <w:rFonts w:ascii="Times New Roman" w:hAnsi="Times New Roman" w:cs="Times New Roman"/>
                <w:sz w:val="20"/>
                <w:szCs w:val="20"/>
                <w:lang w:val="sr-Latn-RS"/>
              </w:rPr>
            </w:pPr>
          </w:p>
        </w:tc>
        <w:tc>
          <w:tcPr>
            <w:tcW w:w="778" w:type="dxa"/>
            <w:gridSpan w:val="2"/>
            <w:tcBorders>
              <w:top w:val="nil"/>
              <w:left w:val="single" w:sz="8" w:space="0" w:color="E0E0E0"/>
              <w:bottom w:val="nil"/>
              <w:right w:val="nil"/>
            </w:tcBorders>
            <w:shd w:val="clear" w:color="auto" w:fill="FFFFFF"/>
            <w:vAlign w:val="bottom"/>
          </w:tcPr>
          <w:p w:rsidR="00FF738E" w:rsidRDefault="00FF738E" w:rsidP="00E80565">
            <w:pPr>
              <w:spacing w:after="0" w:line="240" w:lineRule="auto"/>
              <w:rPr>
                <w:rFonts w:ascii="Times New Roman" w:hAnsi="Times New Roman" w:cs="Times New Roman"/>
                <w:sz w:val="20"/>
                <w:szCs w:val="20"/>
                <w:lang w:val="sr-Latn-RS"/>
              </w:rPr>
            </w:pPr>
          </w:p>
          <w:p w:rsidR="000D21F3" w:rsidRPr="00FF738E" w:rsidRDefault="000D21F3" w:rsidP="00E80565">
            <w:pPr>
              <w:spacing w:after="0" w:line="240" w:lineRule="auto"/>
              <w:rPr>
                <w:rFonts w:ascii="Times New Roman" w:hAnsi="Times New Roman" w:cs="Times New Roman"/>
                <w:sz w:val="20"/>
                <w:szCs w:val="20"/>
                <w:lang w:val="sr-Latn-RS"/>
              </w:rPr>
            </w:pPr>
          </w:p>
        </w:tc>
      </w:tr>
      <w:tr w:rsidR="000D21F3" w:rsidRPr="0000784B" w:rsidTr="00E80565">
        <w:trPr>
          <w:gridAfter w:val="1"/>
          <w:wAfter w:w="9" w:type="dxa"/>
          <w:cantSplit/>
          <w:trHeight w:val="136"/>
        </w:trPr>
        <w:tc>
          <w:tcPr>
            <w:tcW w:w="4657" w:type="dxa"/>
            <w:gridSpan w:val="3"/>
            <w:vMerge/>
            <w:tcBorders>
              <w:top w:val="nil"/>
              <w:left w:val="nil"/>
              <w:bottom w:val="nil"/>
              <w:right w:val="nil"/>
            </w:tcBorders>
            <w:shd w:val="clear" w:color="auto" w:fill="FFFFFF"/>
            <w:vAlign w:val="bottom"/>
          </w:tcPr>
          <w:p w:rsidR="000D21F3" w:rsidRPr="0000784B" w:rsidRDefault="000D21F3" w:rsidP="00E80565">
            <w:pPr>
              <w:spacing w:after="0" w:line="240" w:lineRule="auto"/>
              <w:rPr>
                <w:rFonts w:ascii="Times New Roman" w:hAnsi="Times New Roman" w:cs="Times New Roman"/>
                <w:sz w:val="20"/>
                <w:szCs w:val="20"/>
              </w:rPr>
            </w:pPr>
          </w:p>
        </w:tc>
        <w:tc>
          <w:tcPr>
            <w:tcW w:w="1104" w:type="dxa"/>
            <w:tcBorders>
              <w:top w:val="nil"/>
              <w:left w:val="nil"/>
              <w:bottom w:val="single" w:sz="8" w:space="0" w:color="152935"/>
              <w:right w:val="single" w:sz="8" w:space="0" w:color="E0E0E0"/>
            </w:tcBorders>
            <w:shd w:val="clear" w:color="auto" w:fill="FFFFFF"/>
            <w:vAlign w:val="bottom"/>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Da, redovno</w:t>
            </w:r>
          </w:p>
        </w:tc>
        <w:tc>
          <w:tcPr>
            <w:tcW w:w="1104" w:type="dxa"/>
            <w:tcBorders>
              <w:top w:val="nil"/>
              <w:left w:val="single" w:sz="8" w:space="0" w:color="E0E0E0"/>
              <w:bottom w:val="single" w:sz="8" w:space="0" w:color="152935"/>
              <w:right w:val="single" w:sz="8" w:space="0" w:color="E0E0E0"/>
            </w:tcBorders>
            <w:shd w:val="clear" w:color="auto" w:fill="FFFFFF"/>
            <w:vAlign w:val="bottom"/>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Povremeno</w:t>
            </w:r>
          </w:p>
        </w:tc>
        <w:tc>
          <w:tcPr>
            <w:tcW w:w="1104" w:type="dxa"/>
            <w:tcBorders>
              <w:top w:val="nil"/>
              <w:left w:val="single" w:sz="8" w:space="0" w:color="E0E0E0"/>
              <w:bottom w:val="single" w:sz="8" w:space="0" w:color="152935"/>
              <w:right w:val="single" w:sz="8" w:space="0" w:color="E0E0E0"/>
            </w:tcBorders>
            <w:shd w:val="clear" w:color="auto" w:fill="FFFFFF"/>
            <w:vAlign w:val="bottom"/>
          </w:tcPr>
          <w:p w:rsidR="000D21F3" w:rsidRPr="00FF738E" w:rsidRDefault="00FF738E" w:rsidP="00FF738E">
            <w:pPr>
              <w:spacing w:after="0" w:line="240" w:lineRule="auto"/>
              <w:rPr>
                <w:rFonts w:ascii="Times New Roman" w:hAnsi="Times New Roman" w:cs="Times New Roman"/>
                <w:sz w:val="20"/>
                <w:szCs w:val="20"/>
                <w:lang w:val="sr-Latn-RS"/>
              </w:rPr>
            </w:pPr>
            <w:r>
              <w:rPr>
                <w:rFonts w:ascii="Times New Roman" w:hAnsi="Times New Roman" w:cs="Times New Roman"/>
                <w:sz w:val="20"/>
                <w:szCs w:val="20"/>
              </w:rPr>
              <w:t>R</w:t>
            </w:r>
            <w:r>
              <w:rPr>
                <w:rFonts w:ascii="Times New Roman" w:hAnsi="Times New Roman" w:cs="Times New Roman"/>
                <w:sz w:val="20"/>
                <w:szCs w:val="20"/>
                <w:lang w:val="sr-Latn-RS"/>
              </w:rPr>
              <w:t>etko</w:t>
            </w:r>
          </w:p>
        </w:tc>
        <w:tc>
          <w:tcPr>
            <w:tcW w:w="1107" w:type="dxa"/>
            <w:tcBorders>
              <w:top w:val="nil"/>
              <w:left w:val="single" w:sz="8" w:space="0" w:color="E0E0E0"/>
              <w:bottom w:val="single" w:sz="8" w:space="0" w:color="152935"/>
              <w:right w:val="single" w:sz="8" w:space="0" w:color="E0E0E0"/>
            </w:tcBorders>
            <w:shd w:val="clear" w:color="auto" w:fill="FFFFFF"/>
            <w:vAlign w:val="bottom"/>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rPr>
              <w:t>N</w:t>
            </w:r>
            <w:r>
              <w:rPr>
                <w:rFonts w:ascii="Times New Roman" w:hAnsi="Times New Roman" w:cs="Times New Roman"/>
                <w:sz w:val="20"/>
                <w:szCs w:val="20"/>
                <w:lang w:val="sr-Latn-RS"/>
              </w:rPr>
              <w:t>ikada</w:t>
            </w:r>
          </w:p>
        </w:tc>
        <w:tc>
          <w:tcPr>
            <w:tcW w:w="769" w:type="dxa"/>
            <w:tcBorders>
              <w:top w:val="nil"/>
              <w:left w:val="single" w:sz="8" w:space="0" w:color="E0E0E0"/>
              <w:bottom w:val="nil"/>
              <w:right w:val="nil"/>
            </w:tcBorders>
            <w:shd w:val="clear" w:color="auto" w:fill="FFFFFF"/>
            <w:vAlign w:val="bottom"/>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r>
      <w:tr w:rsidR="000D21F3" w:rsidRPr="0000784B" w:rsidTr="00E80565">
        <w:trPr>
          <w:gridAfter w:val="1"/>
          <w:wAfter w:w="9" w:type="dxa"/>
          <w:cantSplit/>
          <w:trHeight w:val="218"/>
        </w:trPr>
        <w:tc>
          <w:tcPr>
            <w:tcW w:w="1287" w:type="dxa"/>
            <w:vMerge w:val="restart"/>
            <w:tcBorders>
              <w:top w:val="single" w:sz="8" w:space="0" w:color="152935"/>
              <w:left w:val="nil"/>
              <w:bottom w:val="nil"/>
              <w:right w:val="nil"/>
            </w:tcBorders>
            <w:shd w:val="clear" w:color="auto" w:fill="E0E0E0"/>
            <w:vAlign w:val="center"/>
          </w:tcPr>
          <w:p w:rsidR="000D21F3" w:rsidRPr="00FF738E" w:rsidRDefault="00FF738E" w:rsidP="00FF738E">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Vrsta medijske organizacije u kojoj ste zaposleni</w:t>
            </w:r>
            <w:r>
              <w:rPr>
                <w:rFonts w:ascii="Times New Roman" w:hAnsi="Times New Roman" w:cs="Times New Roman"/>
                <w:sz w:val="20"/>
                <w:szCs w:val="20"/>
              </w:rPr>
              <w:t xml:space="preserve"> </w:t>
            </w:r>
          </w:p>
        </w:tc>
        <w:tc>
          <w:tcPr>
            <w:tcW w:w="1530" w:type="dxa"/>
            <w:vMerge w:val="restart"/>
            <w:tcBorders>
              <w:top w:val="single" w:sz="8" w:space="0" w:color="152935"/>
              <w:left w:val="nil"/>
              <w:bottom w:val="nil"/>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Štampani mediji</w:t>
            </w:r>
          </w:p>
        </w:tc>
        <w:tc>
          <w:tcPr>
            <w:tcW w:w="1840" w:type="dxa"/>
            <w:tcBorders>
              <w:top w:val="single" w:sz="8" w:space="0" w:color="152935"/>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152935"/>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1</w:t>
            </w:r>
          </w:p>
        </w:tc>
        <w:tc>
          <w:tcPr>
            <w:tcW w:w="1104" w:type="dxa"/>
            <w:tcBorders>
              <w:top w:val="single" w:sz="8" w:space="0" w:color="152935"/>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18</w:t>
            </w:r>
          </w:p>
        </w:tc>
        <w:tc>
          <w:tcPr>
            <w:tcW w:w="1104" w:type="dxa"/>
            <w:tcBorders>
              <w:top w:val="single" w:sz="8" w:space="0" w:color="152935"/>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19</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11</w:t>
            </w:r>
          </w:p>
        </w:tc>
        <w:tc>
          <w:tcPr>
            <w:tcW w:w="769" w:type="dxa"/>
            <w:tcBorders>
              <w:top w:val="single" w:sz="8" w:space="0" w:color="152935"/>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49</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2.0%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36.7%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38.8%</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22.4%</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rsidR="000D21F3" w:rsidRPr="00A11699" w:rsidRDefault="00A11699"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Standardizovani</w:t>
            </w:r>
            <w:r w:rsidR="00FF738E" w:rsidRPr="00FF738E">
              <w:rPr>
                <w:rFonts w:ascii="Times New Roman" w:hAnsi="Times New Roman" w:cs="Times New Roman"/>
                <w:sz w:val="20"/>
                <w:szCs w:val="20"/>
              </w:rPr>
              <w:t xml:space="preserve"> reziduum</w:t>
            </w:r>
            <w:r>
              <w:rPr>
                <w:rFonts w:ascii="Times New Roman" w:hAnsi="Times New Roman" w:cs="Times New Roman"/>
                <w:sz w:val="20"/>
                <w:szCs w:val="20"/>
                <w:lang w:val="sr-Latn-RS"/>
              </w:rPr>
              <w:t xml:space="preserve"> (Adjusted standard reziduum)</w:t>
            </w:r>
          </w:p>
        </w:tc>
        <w:tc>
          <w:tcPr>
            <w:tcW w:w="1104" w:type="dxa"/>
            <w:tcBorders>
              <w:top w:val="single" w:sz="8" w:space="0" w:color="AEAEAE"/>
              <w:left w:val="nil"/>
              <w:bottom w:val="nil"/>
              <w:right w:val="single" w:sz="8" w:space="0" w:color="E0E0E0"/>
            </w:tcBorders>
            <w:shd w:val="clear" w:color="auto" w:fill="BFBFBF" w:themeFill="background1" w:themeFillShade="BF"/>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-2.5</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-1.5</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w:t>
            </w:r>
          </w:p>
        </w:tc>
        <w:tc>
          <w:tcPr>
            <w:tcW w:w="1107" w:type="dxa"/>
            <w:tcBorders>
              <w:top w:val="single" w:sz="8" w:space="0" w:color="AEAEAE"/>
              <w:left w:val="single" w:sz="8" w:space="0" w:color="E0E0E0"/>
              <w:bottom w:val="nil"/>
              <w:right w:val="single" w:sz="8" w:space="0" w:color="E0E0E0"/>
            </w:tcBorders>
            <w:shd w:val="clear" w:color="auto" w:fill="BFBFBF" w:themeFill="background1" w:themeFillShade="BF"/>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3.1</w:t>
            </w:r>
          </w:p>
        </w:tc>
        <w:tc>
          <w:tcPr>
            <w:tcW w:w="769" w:type="dxa"/>
            <w:tcBorders>
              <w:top w:val="single" w:sz="8" w:space="0" w:color="AEAEAE"/>
              <w:left w:val="single" w:sz="8" w:space="0" w:color="E0E0E0"/>
              <w:bottom w:val="nil"/>
              <w:right w:val="nil"/>
            </w:tcBorders>
            <w:shd w:val="clear" w:color="auto" w:fill="F9F9FB"/>
            <w:vAlign w:val="center"/>
          </w:tcPr>
          <w:p w:rsidR="000D21F3" w:rsidRPr="0000784B" w:rsidRDefault="000D21F3" w:rsidP="00E80565">
            <w:pPr>
              <w:spacing w:after="0" w:line="240" w:lineRule="auto"/>
              <w:rPr>
                <w:rFonts w:ascii="Times New Roman" w:hAnsi="Times New Roman" w:cs="Times New Roman"/>
                <w:sz w:val="20"/>
                <w:szCs w:val="20"/>
              </w:rPr>
            </w:pP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rPr>
              <w:t>Telev</w:t>
            </w:r>
            <w:r>
              <w:rPr>
                <w:rFonts w:ascii="Times New Roman" w:hAnsi="Times New Roman" w:cs="Times New Roman"/>
                <w:sz w:val="20"/>
                <w:szCs w:val="20"/>
                <w:lang w:val="sr-Latn-RS"/>
              </w:rPr>
              <w:t>izija</w:t>
            </w: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25</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70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44</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147</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17.0%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47.6%</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29.9%</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5.4%</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rsidR="000D21F3" w:rsidRPr="00FF738E" w:rsidRDefault="00A11699" w:rsidP="00E80565">
            <w:pPr>
              <w:spacing w:after="0" w:line="240" w:lineRule="auto"/>
              <w:rPr>
                <w:rFonts w:ascii="Times New Roman" w:hAnsi="Times New Roman" w:cs="Times New Roman"/>
                <w:sz w:val="20"/>
                <w:szCs w:val="20"/>
              </w:rPr>
            </w:pPr>
            <w:r>
              <w:rPr>
                <w:rFonts w:ascii="Times New Roman" w:hAnsi="Times New Roman" w:cs="Times New Roman"/>
                <w:sz w:val="20"/>
                <w:szCs w:val="20"/>
                <w:lang w:val="sr-Latn-RS"/>
              </w:rPr>
              <w:t>Standardizovani</w:t>
            </w:r>
            <w:r w:rsidR="00FF738E" w:rsidRPr="00FF738E">
              <w:rPr>
                <w:rFonts w:ascii="Times New Roman" w:hAnsi="Times New Roman" w:cs="Times New Roman"/>
                <w:sz w:val="20"/>
                <w:szCs w:val="20"/>
              </w:rPr>
              <w:t xml:space="preserve"> reziduum</w:t>
            </w:r>
          </w:p>
        </w:tc>
        <w:tc>
          <w:tcPr>
            <w:tcW w:w="1104" w:type="dxa"/>
            <w:tcBorders>
              <w:top w:val="single" w:sz="8" w:space="0" w:color="AEAEAE"/>
              <w:left w:val="nil"/>
              <w:bottom w:val="nil"/>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2.0</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1107" w:type="dxa"/>
            <w:tcBorders>
              <w:top w:val="single" w:sz="8" w:space="0" w:color="AEAEAE"/>
              <w:left w:val="single" w:sz="8" w:space="0" w:color="E0E0E0"/>
              <w:bottom w:val="nil"/>
              <w:right w:val="single" w:sz="8" w:space="0" w:color="E0E0E0"/>
            </w:tcBorders>
            <w:shd w:val="clear" w:color="auto" w:fill="BFBFBF" w:themeFill="background1" w:themeFillShade="BF"/>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-2.8</w:t>
            </w:r>
          </w:p>
        </w:tc>
        <w:tc>
          <w:tcPr>
            <w:tcW w:w="769" w:type="dxa"/>
            <w:tcBorders>
              <w:top w:val="single" w:sz="8" w:space="0" w:color="AEAEAE"/>
              <w:left w:val="single" w:sz="8" w:space="0" w:color="E0E0E0"/>
              <w:bottom w:val="nil"/>
              <w:right w:val="nil"/>
            </w:tcBorders>
            <w:shd w:val="clear" w:color="auto" w:fill="F9F9FB"/>
            <w:vAlign w:val="center"/>
          </w:tcPr>
          <w:p w:rsidR="000D21F3" w:rsidRPr="0000784B" w:rsidRDefault="000D21F3" w:rsidP="00E80565">
            <w:pPr>
              <w:spacing w:after="0" w:line="240" w:lineRule="auto"/>
              <w:rPr>
                <w:rFonts w:ascii="Times New Roman" w:hAnsi="Times New Roman" w:cs="Times New Roman"/>
                <w:sz w:val="20"/>
                <w:szCs w:val="20"/>
              </w:rPr>
            </w:pP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Radio</w:t>
            </w: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3</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27</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11.1%</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44.4%</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29.6%</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14.8%</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rsidR="000D21F3" w:rsidRPr="00FF738E" w:rsidRDefault="00A11699" w:rsidP="00E80565">
            <w:pPr>
              <w:spacing w:after="0" w:line="240" w:lineRule="auto"/>
              <w:rPr>
                <w:rFonts w:ascii="Times New Roman" w:hAnsi="Times New Roman" w:cs="Times New Roman"/>
                <w:sz w:val="20"/>
                <w:szCs w:val="20"/>
              </w:rPr>
            </w:pPr>
            <w:r>
              <w:rPr>
                <w:rFonts w:ascii="Times New Roman" w:hAnsi="Times New Roman" w:cs="Times New Roman"/>
                <w:sz w:val="20"/>
                <w:szCs w:val="20"/>
                <w:lang w:val="sr-Latn-RS"/>
              </w:rPr>
              <w:t>Standardni</w:t>
            </w:r>
            <w:r w:rsidR="00FF738E" w:rsidRPr="00FF738E">
              <w:rPr>
                <w:rFonts w:ascii="Times New Roman" w:hAnsi="Times New Roman" w:cs="Times New Roman"/>
                <w:sz w:val="20"/>
                <w:szCs w:val="20"/>
              </w:rPr>
              <w:t xml:space="preserve"> reziduum</w:t>
            </w:r>
          </w:p>
        </w:tc>
        <w:tc>
          <w:tcPr>
            <w:tcW w:w="1104" w:type="dxa"/>
            <w:tcBorders>
              <w:top w:val="single" w:sz="8" w:space="0" w:color="AEAEAE"/>
              <w:left w:val="nil"/>
              <w:bottom w:val="nil"/>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-.3</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1107"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769" w:type="dxa"/>
            <w:tcBorders>
              <w:top w:val="single" w:sz="8" w:space="0" w:color="AEAEAE"/>
              <w:left w:val="single" w:sz="8" w:space="0" w:color="E0E0E0"/>
              <w:bottom w:val="nil"/>
              <w:right w:val="nil"/>
            </w:tcBorders>
            <w:shd w:val="clear" w:color="auto" w:fill="F9F9FB"/>
            <w:vAlign w:val="center"/>
          </w:tcPr>
          <w:p w:rsidR="000D21F3" w:rsidRPr="0000784B" w:rsidRDefault="000D21F3" w:rsidP="00E80565">
            <w:pPr>
              <w:spacing w:after="0" w:line="240" w:lineRule="auto"/>
              <w:rPr>
                <w:rFonts w:ascii="Times New Roman" w:hAnsi="Times New Roman" w:cs="Times New Roman"/>
                <w:sz w:val="20"/>
                <w:szCs w:val="20"/>
              </w:rPr>
            </w:pP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rPr>
              <w:t>Onl</w:t>
            </w:r>
            <w:r>
              <w:rPr>
                <w:rFonts w:ascii="Times New Roman" w:hAnsi="Times New Roman" w:cs="Times New Roman"/>
                <w:sz w:val="20"/>
                <w:szCs w:val="20"/>
                <w:lang w:val="sr-Latn-RS"/>
              </w:rPr>
              <w:t>ajn medij</w:t>
            </w:r>
            <w:r w:rsidR="000D21F3" w:rsidRPr="0000784B">
              <w:rPr>
                <w:rFonts w:ascii="Times New Roman" w:hAnsi="Times New Roman" w:cs="Times New Roman"/>
                <w:sz w:val="20"/>
                <w:szCs w:val="20"/>
              </w:rPr>
              <w:t xml:space="preserve"> / portal</w:t>
            </w: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23</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5</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47</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14.9%</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48.9%</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25.5%</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10.6%</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rsidR="000D21F3" w:rsidRPr="00FF738E" w:rsidRDefault="00A11699" w:rsidP="00E80565">
            <w:pPr>
              <w:spacing w:after="0" w:line="240" w:lineRule="auto"/>
              <w:rPr>
                <w:rFonts w:ascii="Times New Roman" w:hAnsi="Times New Roman" w:cs="Times New Roman"/>
                <w:sz w:val="20"/>
                <w:szCs w:val="20"/>
              </w:rPr>
            </w:pPr>
            <w:r>
              <w:rPr>
                <w:rFonts w:ascii="Times New Roman" w:hAnsi="Times New Roman" w:cs="Times New Roman"/>
                <w:sz w:val="20"/>
                <w:szCs w:val="20"/>
                <w:lang w:val="sr-Latn-RS"/>
              </w:rPr>
              <w:t>Standardni</w:t>
            </w:r>
            <w:r w:rsidR="00FF738E" w:rsidRPr="00FF738E">
              <w:rPr>
                <w:rFonts w:ascii="Times New Roman" w:hAnsi="Times New Roman" w:cs="Times New Roman"/>
                <w:sz w:val="20"/>
                <w:szCs w:val="20"/>
              </w:rPr>
              <w:t xml:space="preserve"> reziduum</w:t>
            </w:r>
          </w:p>
        </w:tc>
        <w:tc>
          <w:tcPr>
            <w:tcW w:w="1104" w:type="dxa"/>
            <w:tcBorders>
              <w:top w:val="single" w:sz="8" w:space="0" w:color="AEAEAE"/>
              <w:left w:val="nil"/>
              <w:bottom w:val="nil"/>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.4</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w:t>
            </w:r>
          </w:p>
        </w:tc>
        <w:tc>
          <w:tcPr>
            <w:tcW w:w="1107"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w:t>
            </w:r>
          </w:p>
        </w:tc>
        <w:tc>
          <w:tcPr>
            <w:tcW w:w="769" w:type="dxa"/>
            <w:tcBorders>
              <w:top w:val="single" w:sz="8" w:space="0" w:color="AEAEAE"/>
              <w:left w:val="single" w:sz="8" w:space="0" w:color="E0E0E0"/>
              <w:bottom w:val="nil"/>
              <w:right w:val="nil"/>
            </w:tcBorders>
            <w:shd w:val="clear" w:color="auto" w:fill="F9F9FB"/>
            <w:vAlign w:val="center"/>
          </w:tcPr>
          <w:p w:rsidR="000D21F3" w:rsidRPr="0000784B" w:rsidRDefault="000D21F3" w:rsidP="00E80565">
            <w:pPr>
              <w:spacing w:after="0" w:line="240" w:lineRule="auto"/>
              <w:rPr>
                <w:rFonts w:ascii="Times New Roman" w:hAnsi="Times New Roman" w:cs="Times New Roman"/>
                <w:sz w:val="20"/>
                <w:szCs w:val="20"/>
              </w:rPr>
            </w:pP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val="restart"/>
            <w:tcBorders>
              <w:top w:val="single" w:sz="8" w:space="0" w:color="AEAEAE"/>
              <w:left w:val="nil"/>
              <w:bottom w:val="nil"/>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rPr>
              <w:t>N</w:t>
            </w:r>
            <w:r>
              <w:rPr>
                <w:rFonts w:ascii="Times New Roman" w:hAnsi="Times New Roman" w:cs="Times New Roman"/>
                <w:sz w:val="20"/>
                <w:szCs w:val="20"/>
                <w:lang w:val="sr-Latn-RS"/>
              </w:rPr>
              <w:t>ovinska agencija</w:t>
            </w: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0.0%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0.0%</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r w:rsidR="000D21F3" w:rsidRPr="0000784B" w:rsidTr="00E80565">
        <w:trPr>
          <w:gridAfter w:val="1"/>
          <w:wAfter w:w="9" w:type="dxa"/>
          <w:cantSplit/>
          <w:trHeight w:val="136"/>
        </w:trPr>
        <w:tc>
          <w:tcPr>
            <w:tcW w:w="1287" w:type="dxa"/>
            <w:vMerge/>
            <w:tcBorders>
              <w:top w:val="single" w:sz="8" w:space="0" w:color="152935"/>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530" w:type="dxa"/>
            <w:vMerge/>
            <w:tcBorders>
              <w:top w:val="single" w:sz="8" w:space="0" w:color="AEAEAE"/>
              <w:left w:val="nil"/>
              <w:bottom w:val="nil"/>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nil"/>
              <w:right w:val="nil"/>
            </w:tcBorders>
            <w:shd w:val="clear" w:color="auto" w:fill="E0E0E0"/>
          </w:tcPr>
          <w:p w:rsidR="000D21F3" w:rsidRPr="00FF738E" w:rsidRDefault="00A11699" w:rsidP="00E80565">
            <w:pPr>
              <w:spacing w:after="0" w:line="240" w:lineRule="auto"/>
              <w:rPr>
                <w:rFonts w:ascii="Times New Roman" w:hAnsi="Times New Roman" w:cs="Times New Roman"/>
                <w:sz w:val="20"/>
                <w:szCs w:val="20"/>
              </w:rPr>
            </w:pPr>
            <w:r>
              <w:rPr>
                <w:rFonts w:ascii="Times New Roman" w:hAnsi="Times New Roman" w:cs="Times New Roman"/>
                <w:sz w:val="20"/>
                <w:szCs w:val="20"/>
                <w:lang w:val="sr-Latn-RS"/>
              </w:rPr>
              <w:t>Standardn</w:t>
            </w:r>
            <w:r w:rsidR="00FF738E" w:rsidRPr="00FF738E">
              <w:rPr>
                <w:rFonts w:ascii="Times New Roman" w:hAnsi="Times New Roman" w:cs="Times New Roman"/>
                <w:sz w:val="20"/>
                <w:szCs w:val="20"/>
              </w:rPr>
              <w:t>i reziduum</w:t>
            </w:r>
          </w:p>
        </w:tc>
        <w:tc>
          <w:tcPr>
            <w:tcW w:w="1104" w:type="dxa"/>
            <w:tcBorders>
              <w:top w:val="single" w:sz="8" w:space="0" w:color="AEAEAE"/>
              <w:left w:val="nil"/>
              <w:bottom w:val="nil"/>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-.8</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2.2</w:t>
            </w:r>
          </w:p>
        </w:tc>
        <w:tc>
          <w:tcPr>
            <w:tcW w:w="1104"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-1.3</w:t>
            </w:r>
          </w:p>
        </w:tc>
        <w:tc>
          <w:tcPr>
            <w:tcW w:w="1107" w:type="dxa"/>
            <w:tcBorders>
              <w:top w:val="single" w:sz="8" w:space="0" w:color="AEAEAE"/>
              <w:left w:val="single" w:sz="8" w:space="0" w:color="E0E0E0"/>
              <w:bottom w:val="nil"/>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-.7</w:t>
            </w:r>
          </w:p>
        </w:tc>
        <w:tc>
          <w:tcPr>
            <w:tcW w:w="769" w:type="dxa"/>
            <w:tcBorders>
              <w:top w:val="single" w:sz="8" w:space="0" w:color="AEAEAE"/>
              <w:left w:val="single" w:sz="8" w:space="0" w:color="E0E0E0"/>
              <w:bottom w:val="nil"/>
              <w:right w:val="nil"/>
            </w:tcBorders>
            <w:shd w:val="clear" w:color="auto" w:fill="F9F9FB"/>
            <w:vAlign w:val="center"/>
          </w:tcPr>
          <w:p w:rsidR="000D21F3" w:rsidRPr="0000784B" w:rsidRDefault="000D21F3" w:rsidP="00E80565">
            <w:pPr>
              <w:spacing w:after="0" w:line="240" w:lineRule="auto"/>
              <w:rPr>
                <w:rFonts w:ascii="Times New Roman" w:hAnsi="Times New Roman" w:cs="Times New Roman"/>
                <w:sz w:val="20"/>
                <w:szCs w:val="20"/>
              </w:rPr>
            </w:pPr>
          </w:p>
        </w:tc>
      </w:tr>
      <w:tr w:rsidR="000D21F3" w:rsidRPr="0000784B" w:rsidTr="00E80565">
        <w:trPr>
          <w:gridAfter w:val="1"/>
          <w:wAfter w:w="9" w:type="dxa"/>
          <w:cantSplit/>
          <w:trHeight w:val="218"/>
        </w:trPr>
        <w:tc>
          <w:tcPr>
            <w:tcW w:w="2817" w:type="dxa"/>
            <w:gridSpan w:val="2"/>
            <w:vMerge w:val="restart"/>
            <w:tcBorders>
              <w:top w:val="single" w:sz="8" w:space="0" w:color="AEAEAE"/>
              <w:left w:val="nil"/>
              <w:bottom w:val="single" w:sz="8" w:space="0" w:color="152935"/>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Pr>
                <w:rFonts w:ascii="Times New Roman" w:hAnsi="Times New Roman" w:cs="Times New Roman"/>
                <w:sz w:val="20"/>
                <w:szCs w:val="20"/>
                <w:lang w:val="sr-Latn-RS"/>
              </w:rPr>
              <w:t>Ukupno</w:t>
            </w:r>
          </w:p>
        </w:tc>
        <w:tc>
          <w:tcPr>
            <w:tcW w:w="1840" w:type="dxa"/>
            <w:tcBorders>
              <w:top w:val="single" w:sz="8" w:space="0" w:color="AEAEAE"/>
              <w:left w:val="nil"/>
              <w:bottom w:val="single" w:sz="8" w:space="0" w:color="AEAEAE"/>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lang w:val="sr-Latn-RS"/>
              </w:rPr>
            </w:pPr>
            <w:r w:rsidRPr="00FF738E">
              <w:rPr>
                <w:rFonts w:ascii="Times New Roman" w:hAnsi="Times New Roman" w:cs="Times New Roman"/>
                <w:sz w:val="20"/>
                <w:szCs w:val="20"/>
                <w:lang w:val="sr-Latn-RS"/>
              </w:rPr>
              <w:t>Broj</w:t>
            </w:r>
          </w:p>
        </w:tc>
        <w:tc>
          <w:tcPr>
            <w:tcW w:w="1104" w:type="dxa"/>
            <w:tcBorders>
              <w:top w:val="single" w:sz="8" w:space="0" w:color="AEAEAE"/>
              <w:left w:val="nil"/>
              <w:bottom w:val="single" w:sz="8" w:space="0" w:color="AEAEAE"/>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36</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127</w:t>
            </w:r>
          </w:p>
        </w:tc>
        <w:tc>
          <w:tcPr>
            <w:tcW w:w="1104"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83</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28</w:t>
            </w:r>
          </w:p>
        </w:tc>
        <w:tc>
          <w:tcPr>
            <w:tcW w:w="769" w:type="dxa"/>
            <w:tcBorders>
              <w:top w:val="single" w:sz="8" w:space="0" w:color="AEAEAE"/>
              <w:left w:val="single" w:sz="8" w:space="0" w:color="E0E0E0"/>
              <w:bottom w:val="single" w:sz="8" w:space="0" w:color="AEAEAE"/>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274</w:t>
            </w:r>
          </w:p>
        </w:tc>
      </w:tr>
      <w:tr w:rsidR="000D21F3" w:rsidRPr="0000784B" w:rsidTr="00E80565">
        <w:trPr>
          <w:gridAfter w:val="1"/>
          <w:wAfter w:w="9" w:type="dxa"/>
          <w:cantSplit/>
          <w:trHeight w:val="136"/>
        </w:trPr>
        <w:tc>
          <w:tcPr>
            <w:tcW w:w="2817" w:type="dxa"/>
            <w:gridSpan w:val="2"/>
            <w:vMerge/>
            <w:tcBorders>
              <w:top w:val="single" w:sz="8" w:space="0" w:color="AEAEAE"/>
              <w:left w:val="nil"/>
              <w:bottom w:val="single" w:sz="8" w:space="0" w:color="152935"/>
              <w:right w:val="nil"/>
            </w:tcBorders>
            <w:shd w:val="clear" w:color="auto" w:fill="E0E0E0"/>
          </w:tcPr>
          <w:p w:rsidR="000D21F3" w:rsidRPr="0000784B" w:rsidRDefault="000D21F3" w:rsidP="00E80565">
            <w:pPr>
              <w:spacing w:after="0" w:line="240" w:lineRule="auto"/>
              <w:rPr>
                <w:rFonts w:ascii="Times New Roman" w:hAnsi="Times New Roman" w:cs="Times New Roman"/>
                <w:sz w:val="20"/>
                <w:szCs w:val="20"/>
              </w:rPr>
            </w:pPr>
          </w:p>
        </w:tc>
        <w:tc>
          <w:tcPr>
            <w:tcW w:w="1840" w:type="dxa"/>
            <w:tcBorders>
              <w:top w:val="single" w:sz="8" w:space="0" w:color="AEAEAE"/>
              <w:left w:val="nil"/>
              <w:bottom w:val="single" w:sz="8" w:space="0" w:color="152935"/>
              <w:right w:val="nil"/>
            </w:tcBorders>
            <w:shd w:val="clear" w:color="auto" w:fill="E0E0E0"/>
          </w:tcPr>
          <w:p w:rsidR="000D21F3" w:rsidRPr="00FF738E" w:rsidRDefault="00FF738E"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 unutar tipa medijske organizacije u kojoj ste zaposleni</w:t>
            </w:r>
          </w:p>
        </w:tc>
        <w:tc>
          <w:tcPr>
            <w:tcW w:w="1104" w:type="dxa"/>
            <w:tcBorders>
              <w:top w:val="single" w:sz="8" w:space="0" w:color="AEAEAE"/>
              <w:left w:val="nil"/>
              <w:bottom w:val="single" w:sz="8" w:space="0" w:color="152935"/>
              <w:right w:val="single" w:sz="8" w:space="0" w:color="E0E0E0"/>
            </w:tcBorders>
            <w:shd w:val="clear" w:color="auto" w:fill="F9F9FB"/>
          </w:tcPr>
          <w:p w:rsidR="000D21F3" w:rsidRPr="00FF738E" w:rsidRDefault="000D21F3" w:rsidP="00E80565">
            <w:pPr>
              <w:spacing w:after="0" w:line="240" w:lineRule="auto"/>
              <w:rPr>
                <w:rFonts w:ascii="Times New Roman" w:hAnsi="Times New Roman" w:cs="Times New Roman"/>
                <w:sz w:val="20"/>
                <w:szCs w:val="20"/>
              </w:rPr>
            </w:pPr>
            <w:r w:rsidRPr="00FF738E">
              <w:rPr>
                <w:rFonts w:ascii="Times New Roman" w:hAnsi="Times New Roman" w:cs="Times New Roman"/>
                <w:sz w:val="20"/>
                <w:szCs w:val="20"/>
              </w:rPr>
              <w:t>13.1%</w:t>
            </w:r>
          </w:p>
        </w:tc>
        <w:tc>
          <w:tcPr>
            <w:tcW w:w="1104" w:type="dxa"/>
            <w:tcBorders>
              <w:top w:val="single" w:sz="8" w:space="0" w:color="AEAEAE"/>
              <w:left w:val="single" w:sz="8" w:space="0" w:color="E0E0E0"/>
              <w:bottom w:val="single" w:sz="8" w:space="0" w:color="152935"/>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46.4%</w:t>
            </w:r>
          </w:p>
        </w:tc>
        <w:tc>
          <w:tcPr>
            <w:tcW w:w="1104" w:type="dxa"/>
            <w:tcBorders>
              <w:top w:val="single" w:sz="8" w:space="0" w:color="AEAEAE"/>
              <w:left w:val="single" w:sz="8" w:space="0" w:color="E0E0E0"/>
              <w:bottom w:val="single" w:sz="8" w:space="0" w:color="152935"/>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30.3%</w:t>
            </w:r>
          </w:p>
        </w:tc>
        <w:tc>
          <w:tcPr>
            <w:tcW w:w="1107" w:type="dxa"/>
            <w:tcBorders>
              <w:top w:val="single" w:sz="8" w:space="0" w:color="AEAEAE"/>
              <w:left w:val="single" w:sz="8" w:space="0" w:color="E0E0E0"/>
              <w:bottom w:val="single" w:sz="8" w:space="0" w:color="152935"/>
              <w:right w:val="single" w:sz="8" w:space="0" w:color="E0E0E0"/>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10.2%</w:t>
            </w:r>
          </w:p>
        </w:tc>
        <w:tc>
          <w:tcPr>
            <w:tcW w:w="769" w:type="dxa"/>
            <w:tcBorders>
              <w:top w:val="single" w:sz="8" w:space="0" w:color="AEAEAE"/>
              <w:left w:val="single" w:sz="8" w:space="0" w:color="E0E0E0"/>
              <w:bottom w:val="single" w:sz="8" w:space="0" w:color="152935"/>
              <w:right w:val="nil"/>
            </w:tcBorders>
            <w:shd w:val="clear" w:color="auto" w:fill="F9F9FB"/>
          </w:tcPr>
          <w:p w:rsidR="000D21F3" w:rsidRPr="0000784B" w:rsidRDefault="000D21F3" w:rsidP="00E80565">
            <w:pPr>
              <w:spacing w:after="0" w:line="240" w:lineRule="auto"/>
              <w:rPr>
                <w:rFonts w:ascii="Times New Roman" w:hAnsi="Times New Roman" w:cs="Times New Roman"/>
                <w:sz w:val="20"/>
                <w:szCs w:val="20"/>
              </w:rPr>
            </w:pPr>
            <w:r w:rsidRPr="0000784B">
              <w:rPr>
                <w:rFonts w:ascii="Times New Roman" w:hAnsi="Times New Roman" w:cs="Times New Roman"/>
                <w:sz w:val="20"/>
                <w:szCs w:val="20"/>
              </w:rPr>
              <w:t>100.0%</w:t>
            </w:r>
          </w:p>
        </w:tc>
      </w:tr>
    </w:tbl>
    <w:p w:rsidR="000D21F3" w:rsidRPr="000F4DC4" w:rsidRDefault="000F4DC4" w:rsidP="000F4DC4">
      <w:pPr>
        <w:spacing w:after="0" w:line="240" w:lineRule="auto"/>
        <w:jc w:val="center"/>
        <w:rPr>
          <w:rFonts w:ascii="Times New Roman" w:eastAsia="Times New Roman" w:hAnsi="Times New Roman" w:cs="Times New Roman"/>
          <w:sz w:val="20"/>
          <w:szCs w:val="24"/>
          <w:lang w:val="sr-Latn-RS" w:eastAsia="sr-Latn-RS"/>
        </w:rPr>
      </w:pPr>
      <w:r w:rsidRPr="000F4DC4">
        <w:rPr>
          <w:rFonts w:ascii="Times New Roman" w:eastAsia="Times New Roman" w:hAnsi="Times New Roman" w:cs="Times New Roman"/>
          <w:sz w:val="20"/>
          <w:szCs w:val="24"/>
          <w:lang w:val="sr-Latn-RS" w:eastAsia="sr-Latn-RS"/>
        </w:rPr>
        <w:t>Izvor: Autorova kalkulacija</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Unutar medijskih organizacija, najčešći oblik profesionalnog razvoja zaposlenih su interni programi obuke (39,8%), zatim eksterni seminari (19,7%), konferencije (16,8%) i samostalno učenje (16,4%), dok su onlajn kursevi najmanje zastupljeni (7,3%).</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Hi-kvadrat test nezavisnosti pokazao je statistički značajnu povezanost između oblika profesionalnog razvoja i tipa medija u kojem su ispitanici zaposleni, χ²(16, n = 274) = 28,580, p = 0,027, phi = 0,323. Najveći udeo zaposlenih u štampanim medijima i na televiziji (po 42,9%) izjavio je da učestvuje u internim programima obuke. Zaposleni na radiju najčešće učestvuju u eksternim seminarima, dok su u novinskim agencijama podjednako zastupljeni eksterni seminari i konferencije (po 50%). Onlajn kurseve su naveli samo zaposleni u štampanim medijima (14,3%) i onlajn medijima/portalima (12,8%), dok su u ostalim medijskim organizacijama zanemarljivo zastupljeni.</w:t>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Ispitanici su tvrdnju „Kontinuirano obrazovanje povećava motivaciju zaposlenih“ ocenili prosečnom ocenom 5,62, medijanom 6 i modom 6. Prvi kvartil (Q1) iznosio je 5, što znači da je 25% ispitanika dalo ocenu 5 ili manju, dok je treći kvartil (Q3) iznosio 7. Varijabla je pokazala relativno malu varijabilnost (CV = 26,71%) i izraženu negativnu asimetriju (Skewness = –1,102). Ovaj stav je bio konzistentan u odnosu na pol, nivo obrazovanja, poziciju u organizaciji, sektor zaposlenja i godine radnog iskustva. Među ispitanicima koji su dali ocenu 5 ili više, najčešće navedeni razlog bio je „Novo znanje povećava samopouzdanje u obavljanju posla“ (44%), zatim „Dodatno obrazovanje stvara osećaj ličnog i profesionalnog napretka“ (34,67%) i „Zaposleni se osećaju vrednovanim kada poslodavac ulaže u njihovo znanje“ (21,3%).</w:t>
      </w:r>
    </w:p>
    <w:p w:rsidR="000E0813" w:rsidRPr="008766A0" w:rsidRDefault="000E081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B9083A">
        <w:rPr>
          <w:rFonts w:ascii="Times New Roman" w:hAnsi="Times New Roman" w:cs="Times New Roman"/>
          <w:noProof/>
          <w:lang w:val="en-GB" w:eastAsia="en-GB"/>
        </w:rPr>
        <w:drawing>
          <wp:inline distT="0" distB="0" distL="0" distR="0" wp14:anchorId="6E1B0691" wp14:editId="1DD7E762">
            <wp:extent cx="5099050" cy="2998403"/>
            <wp:effectExtent l="0" t="0" r="6350" b="0"/>
            <wp:docPr id="1623732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2994" cy="3000722"/>
                    </a:xfrm>
                    <a:prstGeom prst="rect">
                      <a:avLst/>
                    </a:prstGeom>
                    <a:noFill/>
                    <a:ln>
                      <a:noFill/>
                    </a:ln>
                  </pic:spPr>
                </pic:pic>
              </a:graphicData>
            </a:graphic>
          </wp:inline>
        </w:drawing>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 xml:space="preserve">Ispitanici su tvrdnju „Medijske organizacije koje ulažu u znanje lakše se prilagođavaju tržišnim promenama“ ocenili veoma visokom prosečnom ocenom 6,06, uz medijanu 6 i mod 7. Varijabla je pokazala izraženu negativnu asimetriju (Skewness = –1,521) i relativno malu varijabilnost (CV = 19,75%). Ovaj stav je takođe bio konzistentan u svim posmatranim </w:t>
      </w:r>
      <w:r w:rsidRPr="008766A0">
        <w:rPr>
          <w:rFonts w:ascii="Times New Roman" w:eastAsia="Times New Roman" w:hAnsi="Times New Roman" w:cs="Times New Roman"/>
          <w:sz w:val="24"/>
          <w:szCs w:val="24"/>
          <w:lang w:val="sr-Latn-RS" w:eastAsia="sr-Latn-RS"/>
        </w:rPr>
        <w:lastRenderedPageBreak/>
        <w:t>kategorijama. Najčešći razlozi bili su „Znanje omogućava efikasniju primenu novih poslovnih i tehnoloških modela“ (44%), „Organizacija postaje fleksibilnija i spremnija za konkurentske izazove“ (30,8%) i „Zaposleni brže reaguju na promene u potrebama publike i tržišta“ (25,2%).</w:t>
      </w:r>
    </w:p>
    <w:p w:rsidR="000E0813" w:rsidRDefault="000E081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BA31E7">
        <w:rPr>
          <w:rFonts w:ascii="Times New Roman" w:hAnsi="Times New Roman" w:cs="Times New Roman"/>
          <w:noProof/>
          <w:lang w:val="en-GB" w:eastAsia="en-GB"/>
        </w:rPr>
        <w:drawing>
          <wp:inline distT="0" distB="0" distL="0" distR="0" wp14:anchorId="776BBA98" wp14:editId="7AE25F56">
            <wp:extent cx="5203800" cy="3060000"/>
            <wp:effectExtent l="0" t="0" r="0" b="7620"/>
            <wp:docPr id="1681813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3800" cy="3060000"/>
                    </a:xfrm>
                    <a:prstGeom prst="rect">
                      <a:avLst/>
                    </a:prstGeom>
                    <a:noFill/>
                    <a:ln>
                      <a:noFill/>
                    </a:ln>
                  </pic:spPr>
                </pic:pic>
              </a:graphicData>
            </a:graphic>
          </wp:inline>
        </w:drawing>
      </w:r>
    </w:p>
    <w:p w:rsidR="000E0813" w:rsidRDefault="000E081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0E0813" w:rsidRPr="008766A0" w:rsidRDefault="000E0813"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67699">
        <w:rPr>
          <w:rFonts w:ascii="Times New Roman" w:hAnsi="Times New Roman" w:cs="Times New Roman"/>
          <w:noProof/>
          <w:lang w:val="en-GB" w:eastAsia="en-GB"/>
        </w:rPr>
        <w:drawing>
          <wp:inline distT="0" distB="0" distL="0" distR="0" wp14:anchorId="091B4452" wp14:editId="7618B289">
            <wp:extent cx="5203800" cy="3060000"/>
            <wp:effectExtent l="0" t="0" r="0" b="7620"/>
            <wp:docPr id="17500374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3800" cy="3060000"/>
                    </a:xfrm>
                    <a:prstGeom prst="rect">
                      <a:avLst/>
                    </a:prstGeom>
                    <a:noFill/>
                    <a:ln>
                      <a:noFill/>
                    </a:ln>
                  </pic:spPr>
                </pic:pic>
              </a:graphicData>
            </a:graphic>
          </wp:inline>
        </w:drawing>
      </w:r>
    </w:p>
    <w:p w:rsid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 xml:space="preserve">Uočena je jaka linearna povezanost između tvrdnji „Kontinuirano obrazovanje povećava motivaciju zaposlenih“ i „Medijske organizacije koje ulažu u znanje lakše se prilagođavaju tržišnim promenama“, sa koeficijentom korelacije r = 0,714. Takođe, utvrđene su značajne linearne veze između „Programi obuke i seminari unapređuju profesionalne veštine zaposlenih“ i „Kontinuirano obrazovanje povećava motivaciju zaposlenih“ (r = 0,586), kao i </w:t>
      </w:r>
      <w:r w:rsidRPr="008766A0">
        <w:rPr>
          <w:rFonts w:ascii="Times New Roman" w:eastAsia="Times New Roman" w:hAnsi="Times New Roman" w:cs="Times New Roman"/>
          <w:sz w:val="24"/>
          <w:szCs w:val="24"/>
          <w:lang w:val="sr-Latn-RS" w:eastAsia="sr-Latn-RS"/>
        </w:rPr>
        <w:lastRenderedPageBreak/>
        <w:t>između „Programi obuke i seminari unapređuju profesionalne veštine zaposlenih“ i „Medijske organizacije koje ulažu u znanje lakše se prilagođavaju tržišnim promenama“ (r = 0,579).</w:t>
      </w:r>
    </w:p>
    <w:p w:rsidR="000F4DC4" w:rsidRDefault="000F4DC4"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0F4DC4" w:rsidRDefault="000F4DC4"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tbl>
      <w:tblPr>
        <w:tblW w:w="10117" w:type="dxa"/>
        <w:tblLayout w:type="fixed"/>
        <w:tblCellMar>
          <w:left w:w="0" w:type="dxa"/>
          <w:right w:w="0" w:type="dxa"/>
        </w:tblCellMar>
        <w:tblLook w:val="0000" w:firstRow="0" w:lastRow="0" w:firstColumn="0" w:lastColumn="0" w:noHBand="0" w:noVBand="0"/>
      </w:tblPr>
      <w:tblGrid>
        <w:gridCol w:w="5245"/>
        <w:gridCol w:w="1276"/>
        <w:gridCol w:w="1276"/>
        <w:gridCol w:w="1275"/>
        <w:gridCol w:w="1045"/>
      </w:tblGrid>
      <w:tr w:rsidR="000E0813" w:rsidRPr="00F616E4" w:rsidTr="00E80565">
        <w:trPr>
          <w:cantSplit/>
          <w:trHeight w:val="237"/>
        </w:trPr>
        <w:tc>
          <w:tcPr>
            <w:tcW w:w="5245" w:type="dxa"/>
            <w:tcBorders>
              <w:top w:val="nil"/>
              <w:left w:val="nil"/>
              <w:bottom w:val="single" w:sz="8" w:space="0" w:color="152935"/>
              <w:right w:val="nil"/>
            </w:tcBorders>
            <w:shd w:val="clear" w:color="auto" w:fill="FFFFFF"/>
            <w:vAlign w:val="bottom"/>
          </w:tcPr>
          <w:p w:rsidR="000E0813" w:rsidRPr="00F616E4" w:rsidRDefault="000E0813" w:rsidP="00E80565">
            <w:pPr>
              <w:spacing w:after="0" w:line="240" w:lineRule="auto"/>
              <w:rPr>
                <w:rFonts w:ascii="Times New Roman" w:hAnsi="Times New Roman" w:cs="Times New Roman"/>
                <w:sz w:val="20"/>
                <w:szCs w:val="20"/>
              </w:rPr>
            </w:pPr>
          </w:p>
        </w:tc>
        <w:tc>
          <w:tcPr>
            <w:tcW w:w="1276" w:type="dxa"/>
            <w:tcBorders>
              <w:top w:val="nil"/>
              <w:left w:val="nil"/>
              <w:bottom w:val="single" w:sz="8" w:space="0" w:color="152935"/>
              <w:right w:val="single" w:sz="8" w:space="0" w:color="E0E0E0"/>
            </w:tcBorders>
            <w:shd w:val="clear" w:color="auto" w:fill="FFFFFF"/>
            <w:vAlign w:val="bottom"/>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45" w:type="dxa"/>
            <w:tcBorders>
              <w:top w:val="nil"/>
              <w:left w:val="single" w:sz="8" w:space="0" w:color="E0E0E0"/>
              <w:bottom w:val="single" w:sz="8" w:space="0" w:color="152935"/>
              <w:right w:val="nil"/>
            </w:tcBorders>
            <w:shd w:val="clear" w:color="auto" w:fill="FFFFFF"/>
            <w:vAlign w:val="bottom"/>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E0813" w:rsidRPr="00F616E4" w:rsidTr="00E80565">
        <w:trPr>
          <w:cantSplit/>
          <w:trHeight w:val="474"/>
        </w:trPr>
        <w:tc>
          <w:tcPr>
            <w:tcW w:w="5245" w:type="dxa"/>
            <w:tcBorders>
              <w:top w:val="single" w:sz="8" w:space="0" w:color="152935"/>
              <w:left w:val="nil"/>
              <w:bottom w:val="nil"/>
              <w:right w:val="nil"/>
            </w:tcBorders>
            <w:shd w:val="clear" w:color="auto" w:fill="E0E0E0"/>
          </w:tcPr>
          <w:p w:rsidR="000E0813" w:rsidRPr="00F616E4" w:rsidRDefault="000E0813" w:rsidP="00E8056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FF738E" w:rsidRPr="00FF738E">
              <w:rPr>
                <w:rFonts w:ascii="Times New Roman" w:hAnsi="Times New Roman" w:cs="Times New Roman"/>
                <w:sz w:val="20"/>
              </w:rPr>
              <w:t>Kontinuirano obrazovanje je od suštinskog značaja za kvalitetan rad u savremenim medijima.</w:t>
            </w:r>
          </w:p>
        </w:tc>
        <w:tc>
          <w:tcPr>
            <w:tcW w:w="1276" w:type="dxa"/>
            <w:tcBorders>
              <w:top w:val="single" w:sz="8" w:space="0" w:color="152935"/>
              <w:left w:val="nil"/>
              <w:bottom w:val="single" w:sz="8" w:space="0" w:color="AEAEAE"/>
              <w:right w:val="single" w:sz="8" w:space="0" w:color="E0E0E0"/>
            </w:tcBorders>
            <w:shd w:val="clear" w:color="auto" w:fill="F9F9FB"/>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8" w:space="0" w:color="152935"/>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rPr>
                <w:rFonts w:ascii="Times New Roman" w:hAnsi="Times New Roman" w:cs="Times New Roman"/>
                <w:sz w:val="20"/>
                <w:szCs w:val="20"/>
              </w:rPr>
            </w:pPr>
          </w:p>
        </w:tc>
        <w:tc>
          <w:tcPr>
            <w:tcW w:w="1275" w:type="dxa"/>
            <w:tcBorders>
              <w:top w:val="single" w:sz="8" w:space="0" w:color="152935"/>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rPr>
                <w:rFonts w:ascii="Times New Roman" w:hAnsi="Times New Roman" w:cs="Times New Roman"/>
                <w:sz w:val="20"/>
                <w:szCs w:val="20"/>
              </w:rPr>
            </w:pPr>
          </w:p>
        </w:tc>
        <w:tc>
          <w:tcPr>
            <w:tcW w:w="1045" w:type="dxa"/>
            <w:tcBorders>
              <w:top w:val="single" w:sz="8" w:space="0" w:color="152935"/>
              <w:left w:val="single" w:sz="8" w:space="0" w:color="E0E0E0"/>
              <w:bottom w:val="single" w:sz="8" w:space="0" w:color="AEAEAE"/>
              <w:right w:val="nil"/>
            </w:tcBorders>
            <w:shd w:val="clear" w:color="auto" w:fill="F9F9FB"/>
          </w:tcPr>
          <w:p w:rsidR="000E0813" w:rsidRPr="00F616E4" w:rsidRDefault="000E0813" w:rsidP="00E80565">
            <w:pPr>
              <w:spacing w:after="0" w:line="240" w:lineRule="auto"/>
              <w:rPr>
                <w:rFonts w:ascii="Times New Roman" w:hAnsi="Times New Roman" w:cs="Times New Roman"/>
                <w:sz w:val="20"/>
                <w:szCs w:val="20"/>
              </w:rPr>
            </w:pPr>
          </w:p>
        </w:tc>
      </w:tr>
      <w:tr w:rsidR="000E0813" w:rsidRPr="00F616E4" w:rsidTr="00E80565">
        <w:trPr>
          <w:cantSplit/>
          <w:trHeight w:val="474"/>
        </w:trPr>
        <w:tc>
          <w:tcPr>
            <w:tcW w:w="5245" w:type="dxa"/>
            <w:tcBorders>
              <w:top w:val="single" w:sz="8" w:space="0" w:color="AEAEAE"/>
              <w:left w:val="nil"/>
              <w:bottom w:val="nil"/>
              <w:right w:val="nil"/>
            </w:tcBorders>
            <w:shd w:val="clear" w:color="auto" w:fill="E0E0E0"/>
          </w:tcPr>
          <w:p w:rsidR="000E0813" w:rsidRPr="00FF738E" w:rsidRDefault="000E0813" w:rsidP="00FF738E">
            <w:pPr>
              <w:pStyle w:val="NormalWeb"/>
            </w:pPr>
            <w:r>
              <w:rPr>
                <w:sz w:val="20"/>
                <w:szCs w:val="20"/>
              </w:rPr>
              <w:t xml:space="preserve">2. </w:t>
            </w:r>
            <w:r w:rsidR="00FF738E" w:rsidRPr="00FF738E">
              <w:rPr>
                <w:sz w:val="20"/>
              </w:rPr>
              <w:t>Programi obuke i seminari unapređuju profesionalne veštine zaposlenih.</w:t>
            </w:r>
          </w:p>
        </w:tc>
        <w:tc>
          <w:tcPr>
            <w:tcW w:w="1276" w:type="dxa"/>
            <w:tcBorders>
              <w:top w:val="single" w:sz="8" w:space="0" w:color="AEAEAE"/>
              <w:left w:val="nil"/>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.424</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p>
        </w:tc>
        <w:tc>
          <w:tcPr>
            <w:tcW w:w="1045" w:type="dxa"/>
            <w:tcBorders>
              <w:top w:val="single" w:sz="8" w:space="0" w:color="AEAEAE"/>
              <w:left w:val="single" w:sz="8" w:space="0" w:color="E0E0E0"/>
              <w:bottom w:val="single" w:sz="8" w:space="0" w:color="AEAEAE"/>
              <w:right w:val="nil"/>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p>
        </w:tc>
      </w:tr>
      <w:tr w:rsidR="000E0813" w:rsidRPr="00F616E4" w:rsidTr="00E80565">
        <w:trPr>
          <w:cantSplit/>
          <w:trHeight w:val="237"/>
        </w:trPr>
        <w:tc>
          <w:tcPr>
            <w:tcW w:w="5245" w:type="dxa"/>
            <w:tcBorders>
              <w:top w:val="single" w:sz="8" w:space="0" w:color="AEAEAE"/>
              <w:left w:val="nil"/>
              <w:bottom w:val="nil"/>
              <w:right w:val="nil"/>
            </w:tcBorders>
            <w:shd w:val="clear" w:color="auto" w:fill="E0E0E0"/>
          </w:tcPr>
          <w:p w:rsidR="000E0813" w:rsidRPr="00FF738E" w:rsidRDefault="000E0813" w:rsidP="00FF738E">
            <w:pPr>
              <w:pStyle w:val="NormalWeb"/>
              <w:rPr>
                <w:sz w:val="20"/>
                <w:szCs w:val="20"/>
              </w:rPr>
            </w:pPr>
            <w:r w:rsidRPr="00FF738E">
              <w:rPr>
                <w:sz w:val="20"/>
                <w:szCs w:val="20"/>
              </w:rPr>
              <w:t xml:space="preserve">3. </w:t>
            </w:r>
            <w:r w:rsidR="00FF738E" w:rsidRPr="00FF738E">
              <w:rPr>
                <w:sz w:val="20"/>
                <w:szCs w:val="20"/>
              </w:rPr>
              <w:t>Kontinuirano obrazovanje povećava motivaciju zaposlenih.</w:t>
            </w:r>
          </w:p>
        </w:tc>
        <w:tc>
          <w:tcPr>
            <w:tcW w:w="1276" w:type="dxa"/>
            <w:tcBorders>
              <w:top w:val="single" w:sz="8" w:space="0" w:color="AEAEAE"/>
              <w:left w:val="nil"/>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.393</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.586</w:t>
            </w:r>
            <w:r w:rsidRPr="00F616E4">
              <w:rPr>
                <w:rFonts w:ascii="Times New Roman" w:hAnsi="Times New Roman" w:cs="Times New Roman"/>
                <w:sz w:val="20"/>
                <w:szCs w:val="20"/>
                <w:vertAlign w:val="superscript"/>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45" w:type="dxa"/>
            <w:tcBorders>
              <w:top w:val="single" w:sz="8" w:space="0" w:color="AEAEAE"/>
              <w:left w:val="single" w:sz="8" w:space="0" w:color="E0E0E0"/>
              <w:bottom w:val="single" w:sz="8" w:space="0" w:color="AEAEAE"/>
              <w:right w:val="nil"/>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p>
        </w:tc>
      </w:tr>
      <w:tr w:rsidR="000E0813" w:rsidRPr="00F616E4" w:rsidTr="00E80565">
        <w:trPr>
          <w:cantSplit/>
          <w:trHeight w:val="474"/>
        </w:trPr>
        <w:tc>
          <w:tcPr>
            <w:tcW w:w="5245" w:type="dxa"/>
            <w:tcBorders>
              <w:top w:val="single" w:sz="8" w:space="0" w:color="AEAEAE"/>
              <w:left w:val="nil"/>
              <w:bottom w:val="single" w:sz="8" w:space="0" w:color="152935"/>
              <w:right w:val="nil"/>
            </w:tcBorders>
            <w:shd w:val="clear" w:color="auto" w:fill="E0E0E0"/>
          </w:tcPr>
          <w:p w:rsidR="000E0813" w:rsidRPr="00FF738E" w:rsidRDefault="000E0813" w:rsidP="00FF738E">
            <w:pPr>
              <w:pStyle w:val="NormalWeb"/>
              <w:rPr>
                <w:sz w:val="20"/>
                <w:szCs w:val="20"/>
              </w:rPr>
            </w:pPr>
            <w:r w:rsidRPr="00FF738E">
              <w:rPr>
                <w:sz w:val="20"/>
                <w:szCs w:val="20"/>
              </w:rPr>
              <w:t xml:space="preserve">4. </w:t>
            </w:r>
            <w:r w:rsidR="00FF738E" w:rsidRPr="00FF738E">
              <w:rPr>
                <w:sz w:val="20"/>
                <w:szCs w:val="20"/>
              </w:rPr>
              <w:t>Medijske organizacije koje ulažu u znanje lakše se prilagođavaju promenama na tržištu.</w:t>
            </w:r>
          </w:p>
        </w:tc>
        <w:tc>
          <w:tcPr>
            <w:tcW w:w="1276" w:type="dxa"/>
            <w:tcBorders>
              <w:top w:val="single" w:sz="8" w:space="0" w:color="AEAEAE"/>
              <w:left w:val="nil"/>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.412</w:t>
            </w:r>
            <w:r w:rsidRPr="00F616E4">
              <w:rPr>
                <w:rFonts w:ascii="Times New Roman" w:hAnsi="Times New Roman" w:cs="Times New Roman"/>
                <w:sz w:val="20"/>
                <w:szCs w:val="20"/>
                <w:vertAlign w:val="superscript"/>
              </w:rPr>
              <w:t>**</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.579</w:t>
            </w:r>
            <w:r w:rsidRPr="00F616E4">
              <w:rPr>
                <w:rFonts w:ascii="Times New Roman" w:hAnsi="Times New Roman" w:cs="Times New Roman"/>
                <w:sz w:val="20"/>
                <w:szCs w:val="20"/>
                <w:vertAlign w:val="superscript"/>
              </w:rPr>
              <w:t>**</w:t>
            </w:r>
          </w:p>
        </w:tc>
        <w:tc>
          <w:tcPr>
            <w:tcW w:w="1275" w:type="dxa"/>
            <w:tcBorders>
              <w:top w:val="single" w:sz="8" w:space="0" w:color="AEAEAE"/>
              <w:left w:val="single" w:sz="8" w:space="0" w:color="E0E0E0"/>
              <w:bottom w:val="single" w:sz="8" w:space="0" w:color="AEAEAE"/>
              <w:right w:val="single" w:sz="8" w:space="0" w:color="E0E0E0"/>
            </w:tcBorders>
            <w:shd w:val="clear" w:color="auto" w:fill="F9F9FB"/>
          </w:tcPr>
          <w:p w:rsidR="000E0813" w:rsidRPr="00F616E4" w:rsidRDefault="000E0813" w:rsidP="00E80565">
            <w:pPr>
              <w:spacing w:after="0" w:line="240" w:lineRule="auto"/>
              <w:jc w:val="right"/>
              <w:rPr>
                <w:rFonts w:ascii="Times New Roman" w:hAnsi="Times New Roman" w:cs="Times New Roman"/>
                <w:sz w:val="20"/>
                <w:szCs w:val="20"/>
              </w:rPr>
            </w:pPr>
            <w:r w:rsidRPr="00F616E4">
              <w:rPr>
                <w:rFonts w:ascii="Times New Roman" w:hAnsi="Times New Roman" w:cs="Times New Roman"/>
                <w:sz w:val="20"/>
                <w:szCs w:val="20"/>
              </w:rPr>
              <w:t>.714</w:t>
            </w:r>
            <w:r w:rsidRPr="00F616E4">
              <w:rPr>
                <w:rFonts w:ascii="Times New Roman" w:hAnsi="Times New Roman" w:cs="Times New Roman"/>
                <w:sz w:val="20"/>
                <w:szCs w:val="20"/>
                <w:vertAlign w:val="superscript"/>
              </w:rPr>
              <w:t>**</w:t>
            </w:r>
          </w:p>
        </w:tc>
        <w:tc>
          <w:tcPr>
            <w:tcW w:w="1045" w:type="dxa"/>
            <w:tcBorders>
              <w:top w:val="single" w:sz="8" w:space="0" w:color="AEAEAE"/>
              <w:left w:val="single" w:sz="8" w:space="0" w:color="E0E0E0"/>
              <w:bottom w:val="single" w:sz="8" w:space="0" w:color="AEAEAE"/>
              <w:right w:val="nil"/>
            </w:tcBorders>
            <w:shd w:val="clear" w:color="auto" w:fill="F9F9FB"/>
          </w:tcPr>
          <w:p w:rsidR="000E0813" w:rsidRPr="00F616E4" w:rsidRDefault="000E0813" w:rsidP="00E805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E0813" w:rsidRPr="00F616E4" w:rsidTr="00E80565">
        <w:trPr>
          <w:cantSplit/>
          <w:trHeight w:val="237"/>
        </w:trPr>
        <w:tc>
          <w:tcPr>
            <w:tcW w:w="10117" w:type="dxa"/>
            <w:gridSpan w:val="5"/>
            <w:tcBorders>
              <w:top w:val="nil"/>
              <w:left w:val="nil"/>
              <w:bottom w:val="nil"/>
              <w:right w:val="nil"/>
            </w:tcBorders>
            <w:shd w:val="clear" w:color="auto" w:fill="FFFFFF"/>
          </w:tcPr>
          <w:p w:rsidR="00FF738E" w:rsidRPr="00FF738E" w:rsidRDefault="000E0813" w:rsidP="00FF738E">
            <w:pPr>
              <w:pStyle w:val="NormalWeb"/>
            </w:pPr>
            <w:r w:rsidRPr="00F616E4">
              <w:rPr>
                <w:sz w:val="20"/>
                <w:szCs w:val="20"/>
              </w:rPr>
              <w:t xml:space="preserve">**. </w:t>
            </w:r>
            <w:r w:rsidR="00A11699">
              <w:rPr>
                <w:sz w:val="20"/>
              </w:rPr>
              <w:t>Korelacija je</w:t>
            </w:r>
            <w:r w:rsidR="00FF738E" w:rsidRPr="00FF738E">
              <w:rPr>
                <w:sz w:val="20"/>
              </w:rPr>
              <w:t xml:space="preserve"> značajna na nivou 0,01 (dvosmerni test).</w:t>
            </w:r>
          </w:p>
          <w:p w:rsidR="000E0813" w:rsidRPr="00FF738E" w:rsidRDefault="000E0813" w:rsidP="00E80565">
            <w:pPr>
              <w:spacing w:after="0" w:line="240" w:lineRule="auto"/>
              <w:rPr>
                <w:rFonts w:ascii="Times New Roman" w:hAnsi="Times New Roman" w:cs="Times New Roman"/>
                <w:sz w:val="20"/>
                <w:szCs w:val="20"/>
                <w:lang w:val="sr-Latn-RS"/>
              </w:rPr>
            </w:pPr>
          </w:p>
        </w:tc>
      </w:tr>
    </w:tbl>
    <w:p w:rsidR="00AB290F" w:rsidRPr="008766A0" w:rsidRDefault="00AB290F"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
    <w:p w:rsidR="00AB290F" w:rsidRDefault="008766A0" w:rsidP="00AB290F">
      <w:pPr>
        <w:numPr>
          <w:ilvl w:val="0"/>
          <w:numId w:val="5"/>
        </w:numPr>
        <w:spacing w:before="100" w:beforeAutospacing="1" w:after="100" w:afterAutospacing="1" w:line="240" w:lineRule="auto"/>
        <w:ind w:left="357" w:hanging="357"/>
        <w:jc w:val="center"/>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ZAKLJUČAK</w:t>
      </w:r>
    </w:p>
    <w:p w:rsidR="008766A0" w:rsidRPr="008766A0" w:rsidRDefault="008766A0" w:rsidP="00AB290F">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br/>
        <w:t>Ovo istraživanje doprinosi definisanju budućih pravaca razvoja obrazovanja ljudskih resursa u medijskom sektoru kroz identifikovanje potencijalnih trendova, novih dobrih praksi i ključnih kompetencija neophodnih medijskim profesionalcima u savremenom digitalnom okruženju. Poseban naglasak stavljen je na strateški pristup poslovanju, kao i na kompetencije od ključnog značaja za planiranje, realizaciju i evaluaciju programa obuke, zasnovanih na interdisciplinarnom pristupu i principima kontinuiranog profesionalnog razvoja.</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U uslovima ubrzanih i dubokih transformacija medijskog okruženja, potreba za novim, inovativnim i kreativnim ljudskim resursima postaje sve izraženija. Rezultati istraživanja pokazuju da programi obuke i profesionalnog razvoja u medijskim organizacijama nisu dovoljno sistematizovani, budući da samo 13,1% organizacija redovno organizuje seminare i obuke, dok se u većini slučajeva ove aktivnosti realizuju povremeno ili retko. Ipak, statistički značajna povezanost između učestalosti obuka i tipa medija potvrđuje da institucionalni pristup obrazovanju zaposlenih zavisi od medijskog sektora. Ovi rezultati pokazuju da strukturne karakteristike medijskih organizacija utiču na obrazovne prakse zaposlenih.</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Takođe je utvrđena značajna povezanost između oblika profesionalnog razvoja i tipa medija, što dodatno potvrđuje da različiti medijski sektori primenjuju različite modele razvoja znanja. Interne obuke predstavljaju najzastupljeniji oblik profesionalnog razvoja, posebno u štampanim i televizijskim medijima, dok su eksterni programi obrazovanja i konferencije karakterističniji za radio stanice i novinske agencije. Onlajn kursevi su slabo zastupljeni i uglavnom ograničeni na štampane i onlajn medije, što ukazuje na nedovoljno iskorišćen potencijal digitalnih oblika učenja.</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 xml:space="preserve">U pogledu stavova ispitanika, kontinuirano obrazovanje dobilo je visoku prosečnu ocenu od 5,62, uz visok stepen saglasnosti bez obzira na sociodemografske i profesionalne karakteristike. Najznačajniji razlozi odnose se na povećanje samopouzdanja kroz nova znanja, </w:t>
      </w:r>
      <w:r w:rsidRPr="008766A0">
        <w:rPr>
          <w:rFonts w:ascii="Times New Roman" w:eastAsia="Times New Roman" w:hAnsi="Times New Roman" w:cs="Times New Roman"/>
          <w:sz w:val="24"/>
          <w:szCs w:val="24"/>
          <w:lang w:val="sr-Latn-RS" w:eastAsia="sr-Latn-RS"/>
        </w:rPr>
        <w:lastRenderedPageBreak/>
        <w:t>osećaj profesionalnog napretka i percepciju vrednovanja od strane organizacije. Ovi rezultati jasno ukazuju da kontinuirano obrazovanje ima snažan motivacioni efekat, čime se potvrđuje hipoteza H1.</w:t>
      </w:r>
    </w:p>
    <w:p w:rsidR="00AB290F"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Tvrdnja da medijske organizacije koje ulažu u znanje zaposlenih lakše odgovaraju na tržišne promene ocenjena je veoma visokom prosečnom ocenom od 6,06, uz nisku varijabilnost i visok stepen saglasnosti. Ključni razlozi uključuju efikasniju primenu novih poslovnih i tehnoloških modela, veću organizacionu fleksibilnost i brže reagovanje na promene u potrebama publike i tržišta. Ovi nalazi jasno pokazuju da ulaganje u znanje predstavlja važan mehanizam prilagodljivosti medijskih organizacija, čime se potvrđuje hipoteza H2.</w:t>
      </w:r>
    </w:p>
    <w:p w:rsidR="008766A0" w:rsidRPr="008766A0" w:rsidRDefault="008766A0" w:rsidP="008766A0">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766A0">
        <w:rPr>
          <w:rFonts w:ascii="Times New Roman" w:eastAsia="Times New Roman" w:hAnsi="Times New Roman" w:cs="Times New Roman"/>
          <w:sz w:val="24"/>
          <w:szCs w:val="24"/>
          <w:lang w:val="sr-Latn-RS" w:eastAsia="sr-Latn-RS"/>
        </w:rPr>
        <w:t>LITERATURA</w:t>
      </w:r>
    </w:p>
    <w:p w:rsidR="0035310B" w:rsidRPr="00AB290F" w:rsidRDefault="0035310B" w:rsidP="008766A0">
      <w:pPr>
        <w:spacing w:after="0" w:line="240" w:lineRule="auto"/>
        <w:ind w:left="425" w:hanging="425"/>
        <w:jc w:val="both"/>
        <w:rPr>
          <w:rFonts w:ascii="Times New Roman" w:hAnsi="Times New Roman" w:cs="Times New Roman"/>
          <w:sz w:val="20"/>
          <w:szCs w:val="20"/>
        </w:rPr>
      </w:pPr>
      <w:r w:rsidRPr="00AB290F">
        <w:rPr>
          <w:rFonts w:ascii="Times New Roman" w:hAnsi="Times New Roman" w:cs="Times New Roman"/>
          <w:sz w:val="20"/>
          <w:szCs w:val="20"/>
        </w:rPr>
        <w:t xml:space="preserve">Becker, L., Vlad, T., &amp; Martin, H. (2006). Change and Stability in the Newspaper Industry's Journalistic Labor Market. </w:t>
      </w:r>
      <w:r w:rsidRPr="00AB290F">
        <w:rPr>
          <w:rFonts w:ascii="Times New Roman" w:hAnsi="Times New Roman" w:cs="Times New Roman"/>
          <w:i/>
          <w:sz w:val="20"/>
          <w:szCs w:val="20"/>
        </w:rPr>
        <w:t>International Journal on Media Management</w:t>
      </w:r>
      <w:r w:rsidRPr="00AB290F">
        <w:rPr>
          <w:rFonts w:ascii="Times New Roman" w:hAnsi="Times New Roman" w:cs="Times New Roman"/>
          <w:sz w:val="20"/>
          <w:szCs w:val="20"/>
        </w:rPr>
        <w:t>, 8:1, 39-49.</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Benabed, F., &amp; Messaoudi, B. (2025). The role of contemporary human resource management in improving companies organizational performance</w:t>
      </w:r>
      <w:r w:rsidRPr="00AB290F">
        <w:rPr>
          <w:rFonts w:ascii="Times New Roman" w:hAnsi="Times New Roman" w:cs="Times New Roman"/>
          <w:bCs/>
          <w:i/>
          <w:sz w:val="20"/>
          <w:szCs w:val="20"/>
        </w:rPr>
        <w:t>. Pegem Journal of Education and Instruction</w:t>
      </w:r>
      <w:r w:rsidRPr="00AB290F">
        <w:rPr>
          <w:rFonts w:ascii="Times New Roman" w:hAnsi="Times New Roman" w:cs="Times New Roman"/>
          <w:bCs/>
          <w:sz w:val="20"/>
          <w:szCs w:val="20"/>
        </w:rPr>
        <w:t xml:space="preserve">, 15(4), 1872-1888. </w:t>
      </w:r>
    </w:p>
    <w:p w:rsidR="0035310B" w:rsidRPr="00AB290F" w:rsidRDefault="0035310B" w:rsidP="008766A0">
      <w:pPr>
        <w:spacing w:after="0" w:line="240" w:lineRule="auto"/>
        <w:ind w:left="425" w:hanging="425"/>
        <w:jc w:val="both"/>
        <w:rPr>
          <w:rFonts w:ascii="Times New Roman" w:hAnsi="Times New Roman" w:cs="Times New Roman"/>
          <w:sz w:val="20"/>
          <w:szCs w:val="20"/>
        </w:rPr>
      </w:pPr>
      <w:r w:rsidRPr="00AB290F">
        <w:rPr>
          <w:rFonts w:ascii="Times New Roman" w:hAnsi="Times New Roman" w:cs="Times New Roman"/>
          <w:sz w:val="20"/>
          <w:szCs w:val="20"/>
        </w:rPr>
        <w:t>Castells, M. (2010). </w:t>
      </w:r>
      <w:r w:rsidRPr="00AB290F">
        <w:rPr>
          <w:rFonts w:ascii="Times New Roman" w:hAnsi="Times New Roman" w:cs="Times New Roman"/>
          <w:i/>
          <w:iCs/>
          <w:sz w:val="20"/>
          <w:szCs w:val="20"/>
        </w:rPr>
        <w:t>The rise of the network society</w:t>
      </w:r>
      <w:r w:rsidRPr="00AB290F">
        <w:rPr>
          <w:rFonts w:ascii="Times New Roman" w:hAnsi="Times New Roman" w:cs="Times New Roman"/>
          <w:sz w:val="20"/>
          <w:szCs w:val="20"/>
        </w:rPr>
        <w:t> (2nd ed.). Wiley-Blackwell.</w:t>
      </w:r>
    </w:p>
    <w:p w:rsidR="0035310B" w:rsidRPr="00AB290F" w:rsidRDefault="0035310B" w:rsidP="008766A0">
      <w:pPr>
        <w:spacing w:after="0" w:line="240" w:lineRule="auto"/>
        <w:ind w:left="425" w:hanging="425"/>
        <w:jc w:val="both"/>
        <w:rPr>
          <w:rFonts w:ascii="Times New Roman" w:hAnsi="Times New Roman" w:cs="Times New Roman"/>
          <w:sz w:val="20"/>
          <w:szCs w:val="20"/>
        </w:rPr>
      </w:pPr>
      <w:r w:rsidRPr="00AB290F">
        <w:rPr>
          <w:rFonts w:ascii="Times New Roman" w:hAnsi="Times New Roman" w:cs="Times New Roman"/>
          <w:sz w:val="20"/>
          <w:szCs w:val="20"/>
        </w:rPr>
        <w:t xml:space="preserve">Costello, J. and Oliver, J.J. (2018). </w:t>
      </w:r>
      <w:r w:rsidRPr="00AB290F">
        <w:rPr>
          <w:rFonts w:ascii="Times New Roman" w:hAnsi="Times New Roman" w:cs="Times New Roman"/>
          <w:i/>
          <w:sz w:val="20"/>
          <w:szCs w:val="20"/>
        </w:rPr>
        <w:t>Human Resource Management in the Media</w:t>
      </w:r>
      <w:r w:rsidRPr="00AB290F">
        <w:rPr>
          <w:rFonts w:ascii="Times New Roman" w:hAnsi="Times New Roman" w:cs="Times New Roman"/>
          <w:sz w:val="20"/>
          <w:szCs w:val="20"/>
        </w:rPr>
        <w:t>. Handbook of Media Management and Economics (Media Management and Economics Series), Chapter 7, 95-110, Routledge.</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 xml:space="preserve">Dabić, M., Frances Maley, J., Švarc, J., </w:t>
      </w:r>
      <w:r w:rsidRPr="00AB290F">
        <w:rPr>
          <w:rFonts w:ascii="Times New Roman" w:hAnsi="Times New Roman" w:cs="Times New Roman"/>
          <w:bCs/>
          <w:i/>
          <w:iCs/>
          <w:sz w:val="20"/>
          <w:szCs w:val="20"/>
        </w:rPr>
        <w:t xml:space="preserve">&amp; </w:t>
      </w:r>
      <w:r w:rsidRPr="00AB290F">
        <w:rPr>
          <w:rFonts w:ascii="Times New Roman" w:hAnsi="Times New Roman" w:cs="Times New Roman"/>
          <w:bCs/>
          <w:sz w:val="20"/>
          <w:szCs w:val="20"/>
        </w:rPr>
        <w:t>Poček, J. (2023). Future of digital work: Challenges for sustainable human resource management, 8(2),1-9. </w:t>
      </w:r>
      <w:r w:rsidRPr="00AB290F">
        <w:rPr>
          <w:rFonts w:ascii="Times New Roman" w:hAnsi="Times New Roman" w:cs="Times New Roman"/>
          <w:bCs/>
          <w:i/>
          <w:iCs/>
          <w:sz w:val="20"/>
          <w:szCs w:val="20"/>
        </w:rPr>
        <w:t>Journal of Innovation &amp; Knowledge</w:t>
      </w:r>
      <w:r w:rsidRPr="00AB290F">
        <w:rPr>
          <w:rFonts w:ascii="Times New Roman" w:hAnsi="Times New Roman" w:cs="Times New Roman"/>
          <w:bCs/>
          <w:sz w:val="20"/>
          <w:szCs w:val="20"/>
        </w:rPr>
        <w:t xml:space="preserve">. </w:t>
      </w:r>
      <w:hyperlink r:id="rId9" w:tgtFrame="_blank" w:tooltip="Persistent link using digital object identifier" w:history="1">
        <w:r w:rsidRPr="00AB290F">
          <w:rPr>
            <w:rStyle w:val="a3"/>
            <w:rFonts w:ascii="Times New Roman" w:hAnsi="Times New Roman" w:cs="Times New Roman"/>
            <w:bCs/>
            <w:color w:val="auto"/>
            <w:sz w:val="20"/>
            <w:szCs w:val="20"/>
            <w:u w:val="none"/>
          </w:rPr>
          <w:t>https://doi.org/10.1016/j.jik.2023.100353</w:t>
        </w:r>
      </w:hyperlink>
      <w:r w:rsidRPr="00AB290F">
        <w:rPr>
          <w:rFonts w:ascii="Times New Roman" w:hAnsi="Times New Roman" w:cs="Times New Roman"/>
          <w:bCs/>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bCs/>
          <w:sz w:val="20"/>
          <w:szCs w:val="20"/>
          <w:lang w:val="sr-Latn-RS"/>
        </w:rPr>
      </w:pPr>
      <w:r w:rsidRPr="00AB290F">
        <w:rPr>
          <w:rFonts w:ascii="Times New Roman" w:hAnsi="Times New Roman" w:cs="Times New Roman"/>
          <w:bCs/>
          <w:sz w:val="20"/>
          <w:szCs w:val="20"/>
        </w:rPr>
        <w:t>Dessler, G. (2020). </w:t>
      </w:r>
      <w:r w:rsidRPr="00AB290F">
        <w:rPr>
          <w:rFonts w:ascii="Times New Roman" w:hAnsi="Times New Roman" w:cs="Times New Roman"/>
          <w:bCs/>
          <w:i/>
          <w:iCs/>
          <w:sz w:val="20"/>
          <w:szCs w:val="20"/>
        </w:rPr>
        <w:t>Human resource management</w:t>
      </w:r>
      <w:r w:rsidRPr="00AB290F">
        <w:rPr>
          <w:rFonts w:ascii="Times New Roman" w:hAnsi="Times New Roman" w:cs="Times New Roman"/>
          <w:bCs/>
          <w:sz w:val="20"/>
          <w:szCs w:val="20"/>
        </w:rPr>
        <w:t> (16th ed.). Pearson.</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Deuze, M. (2007). </w:t>
      </w:r>
      <w:r w:rsidRPr="00AB290F">
        <w:rPr>
          <w:rFonts w:ascii="Times New Roman" w:hAnsi="Times New Roman" w:cs="Times New Roman"/>
          <w:bCs/>
          <w:i/>
          <w:iCs/>
          <w:sz w:val="20"/>
          <w:szCs w:val="20"/>
        </w:rPr>
        <w:t>Media work</w:t>
      </w:r>
      <w:r w:rsidRPr="00AB290F">
        <w:rPr>
          <w:rFonts w:ascii="Times New Roman" w:hAnsi="Times New Roman" w:cs="Times New Roman"/>
          <w:bCs/>
          <w:sz w:val="20"/>
          <w:szCs w:val="20"/>
        </w:rPr>
        <w:t>. Polity Press.</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Drucker, P. F. (1999). </w:t>
      </w:r>
      <w:r w:rsidRPr="00AB290F">
        <w:rPr>
          <w:rFonts w:ascii="Times New Roman" w:hAnsi="Times New Roman" w:cs="Times New Roman"/>
          <w:bCs/>
          <w:i/>
          <w:iCs/>
          <w:sz w:val="20"/>
          <w:szCs w:val="20"/>
        </w:rPr>
        <w:t>Management challenges for the 21st century</w:t>
      </w:r>
      <w:r w:rsidRPr="00AB290F">
        <w:rPr>
          <w:rFonts w:ascii="Times New Roman" w:hAnsi="Times New Roman" w:cs="Times New Roman"/>
          <w:bCs/>
          <w:sz w:val="20"/>
          <w:szCs w:val="20"/>
        </w:rPr>
        <w:t>. HarperBusiness.</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 xml:space="preserve">Hasan, M., Haque, A., Sharmin Nishat, S., &amp; Hossain, M. (2024). Upskilling and Reskilling in a Rapidly Changing Job Market: Strategies for Organizations to Maintain Workforce Agility and Adaptability. </w:t>
      </w:r>
      <w:r w:rsidRPr="00AB290F">
        <w:rPr>
          <w:rFonts w:ascii="Times New Roman" w:hAnsi="Times New Roman" w:cs="Times New Roman"/>
          <w:bCs/>
          <w:i/>
          <w:iCs/>
          <w:sz w:val="20"/>
          <w:szCs w:val="20"/>
        </w:rPr>
        <w:t>European Journal of Business and Management Research</w:t>
      </w:r>
      <w:r w:rsidRPr="00AB290F">
        <w:rPr>
          <w:rFonts w:ascii="Times New Roman" w:hAnsi="Times New Roman" w:cs="Times New Roman"/>
          <w:bCs/>
          <w:sz w:val="20"/>
          <w:szCs w:val="20"/>
        </w:rPr>
        <w:t xml:space="preserve">, </w:t>
      </w:r>
      <w:r w:rsidRPr="00AB290F">
        <w:rPr>
          <w:rFonts w:ascii="Times New Roman" w:hAnsi="Times New Roman" w:cs="Times New Roman"/>
          <w:bCs/>
          <w:i/>
          <w:iCs/>
          <w:sz w:val="20"/>
          <w:szCs w:val="20"/>
        </w:rPr>
        <w:t>9</w:t>
      </w:r>
      <w:r w:rsidRPr="00AB290F">
        <w:rPr>
          <w:rFonts w:ascii="Times New Roman" w:hAnsi="Times New Roman" w:cs="Times New Roman"/>
          <w:bCs/>
          <w:sz w:val="20"/>
          <w:szCs w:val="20"/>
        </w:rPr>
        <w:t xml:space="preserve">(6), 118-126. </w:t>
      </w:r>
      <w:hyperlink r:id="rId10" w:history="1">
        <w:r w:rsidRPr="00AB290F">
          <w:rPr>
            <w:rStyle w:val="a3"/>
            <w:rFonts w:ascii="Times New Roman" w:hAnsi="Times New Roman" w:cs="Times New Roman"/>
            <w:bCs/>
            <w:color w:val="auto"/>
            <w:sz w:val="20"/>
            <w:szCs w:val="20"/>
            <w:u w:val="none"/>
          </w:rPr>
          <w:t>https://doi.org/10.24018/ejbmr.2024.9.6.2502</w:t>
        </w:r>
      </w:hyperlink>
      <w:r w:rsidRPr="00AB290F">
        <w:rPr>
          <w:rFonts w:ascii="Times New Roman" w:hAnsi="Times New Roman" w:cs="Times New Roman"/>
          <w:bCs/>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Holistique Training. (2023, June 1). </w:t>
      </w:r>
      <w:r w:rsidRPr="00AB290F">
        <w:rPr>
          <w:rFonts w:ascii="Times New Roman" w:hAnsi="Times New Roman" w:cs="Times New Roman"/>
          <w:bCs/>
          <w:i/>
          <w:iCs/>
          <w:sz w:val="20"/>
          <w:szCs w:val="20"/>
        </w:rPr>
        <w:t>The importance of HR marketing: Building a strong workforce</w:t>
      </w:r>
      <w:r w:rsidRPr="00AB290F">
        <w:rPr>
          <w:rFonts w:ascii="Times New Roman" w:hAnsi="Times New Roman" w:cs="Times New Roman"/>
          <w:bCs/>
          <w:sz w:val="20"/>
          <w:szCs w:val="20"/>
        </w:rPr>
        <w:t>. Retrieved from </w:t>
      </w:r>
      <w:hyperlink r:id="rId11" w:history="1">
        <w:r w:rsidRPr="00AB290F">
          <w:rPr>
            <w:rStyle w:val="a3"/>
            <w:rFonts w:ascii="Times New Roman" w:hAnsi="Times New Roman" w:cs="Times New Roman"/>
            <w:bCs/>
            <w:color w:val="auto"/>
            <w:sz w:val="20"/>
            <w:szCs w:val="20"/>
            <w:u w:val="none"/>
          </w:rPr>
          <w:t>https://holistiquetraining.com/en/news/the-importance-of-hr-marketing-building-a-strong-workforce</w:t>
        </w:r>
      </w:hyperlink>
      <w:r w:rsidRPr="00AB290F">
        <w:rPr>
          <w:rFonts w:ascii="Times New Roman" w:hAnsi="Times New Roman" w:cs="Times New Roman"/>
          <w:bCs/>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 xml:space="preserve">Huynh, M. S. (2024). </w:t>
      </w:r>
      <w:r w:rsidRPr="00AB290F">
        <w:rPr>
          <w:rFonts w:ascii="Times New Roman" w:hAnsi="Times New Roman" w:cs="Times New Roman"/>
          <w:bCs/>
          <w:iCs/>
          <w:sz w:val="20"/>
          <w:szCs w:val="20"/>
        </w:rPr>
        <w:t>Human resources in the knowledge economy: Training and developing modern management skills</w:t>
      </w:r>
      <w:r w:rsidRPr="00AB290F">
        <w:rPr>
          <w:rFonts w:ascii="Times New Roman" w:hAnsi="Times New Roman" w:cs="Times New Roman"/>
          <w:bCs/>
          <w:sz w:val="20"/>
          <w:szCs w:val="20"/>
        </w:rPr>
        <w:t xml:space="preserve">. </w:t>
      </w:r>
      <w:r w:rsidRPr="00AB290F">
        <w:rPr>
          <w:rFonts w:ascii="Times New Roman" w:hAnsi="Times New Roman" w:cs="Times New Roman"/>
          <w:bCs/>
          <w:i/>
          <w:sz w:val="20"/>
          <w:szCs w:val="20"/>
        </w:rPr>
        <w:t>International Journal of Multidisciplinary Research and Analysis</w:t>
      </w:r>
      <w:r w:rsidRPr="00AB290F">
        <w:rPr>
          <w:rFonts w:ascii="Times New Roman" w:hAnsi="Times New Roman" w:cs="Times New Roman"/>
          <w:bCs/>
          <w:sz w:val="20"/>
          <w:szCs w:val="20"/>
        </w:rPr>
        <w:t>, 7(7), 3260–3268.</w:t>
      </w:r>
    </w:p>
    <w:p w:rsidR="0035310B" w:rsidRPr="00AB290F" w:rsidRDefault="009F1243" w:rsidP="008766A0">
      <w:pPr>
        <w:spacing w:after="0" w:line="240" w:lineRule="auto"/>
        <w:ind w:left="425"/>
        <w:jc w:val="both"/>
        <w:rPr>
          <w:rFonts w:ascii="Times New Roman" w:hAnsi="Times New Roman" w:cs="Times New Roman"/>
          <w:bCs/>
          <w:sz w:val="20"/>
          <w:szCs w:val="20"/>
        </w:rPr>
      </w:pPr>
      <w:hyperlink r:id="rId12" w:history="1">
        <w:r w:rsidR="0035310B" w:rsidRPr="00AB290F">
          <w:rPr>
            <w:rStyle w:val="a3"/>
            <w:rFonts w:ascii="Times New Roman" w:hAnsi="Times New Roman" w:cs="Times New Roman"/>
            <w:bCs/>
            <w:color w:val="auto"/>
            <w:sz w:val="20"/>
            <w:szCs w:val="20"/>
            <w:u w:val="none"/>
          </w:rPr>
          <w:t>https://doi.org/10.47191/ijmra/v7-i07-25</w:t>
        </w:r>
      </w:hyperlink>
      <w:r w:rsidR="0035310B" w:rsidRPr="00AB290F">
        <w:rPr>
          <w:rFonts w:ascii="Times New Roman" w:hAnsi="Times New Roman" w:cs="Times New Roman"/>
          <w:bCs/>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Organisation for Economic Co-operation and Development (OECD). (2019). </w:t>
      </w:r>
      <w:r w:rsidRPr="00AB290F">
        <w:rPr>
          <w:rFonts w:ascii="Times New Roman" w:hAnsi="Times New Roman" w:cs="Times New Roman"/>
          <w:bCs/>
          <w:i/>
          <w:iCs/>
          <w:sz w:val="20"/>
          <w:szCs w:val="20"/>
        </w:rPr>
        <w:t>Getting skills right: Future-ready adult learning systems</w:t>
      </w:r>
      <w:r w:rsidRPr="00AB290F">
        <w:rPr>
          <w:rFonts w:ascii="Times New Roman" w:hAnsi="Times New Roman" w:cs="Times New Roman"/>
          <w:bCs/>
          <w:sz w:val="20"/>
          <w:szCs w:val="20"/>
        </w:rPr>
        <w:t>. OECD Publishing. </w:t>
      </w:r>
      <w:hyperlink r:id="rId13" w:history="1">
        <w:r w:rsidRPr="00AB290F">
          <w:rPr>
            <w:rStyle w:val="a3"/>
            <w:rFonts w:ascii="Times New Roman" w:hAnsi="Times New Roman" w:cs="Times New Roman"/>
            <w:bCs/>
            <w:color w:val="auto"/>
            <w:sz w:val="20"/>
            <w:szCs w:val="20"/>
            <w:u w:val="none"/>
          </w:rPr>
          <w:t>https://doi.org/10.1787/9789264311756-en</w:t>
        </w:r>
      </w:hyperlink>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Pavlik, J. V. (2013). </w:t>
      </w:r>
      <w:r w:rsidRPr="00AB290F">
        <w:rPr>
          <w:rFonts w:ascii="Times New Roman" w:hAnsi="Times New Roman" w:cs="Times New Roman"/>
          <w:bCs/>
          <w:i/>
          <w:iCs/>
          <w:sz w:val="20"/>
          <w:szCs w:val="20"/>
        </w:rPr>
        <w:t>Innovation and the future of journalism</w:t>
      </w:r>
      <w:r w:rsidRPr="00AB290F">
        <w:rPr>
          <w:rFonts w:ascii="Times New Roman" w:hAnsi="Times New Roman" w:cs="Times New Roman"/>
          <w:bCs/>
          <w:sz w:val="20"/>
          <w:szCs w:val="20"/>
        </w:rPr>
        <w:t>. Columbia University Press.</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 xml:space="preserve">Rode, J. C., Huang, X., &amp; Roge, R. (2022). </w:t>
      </w:r>
      <w:r w:rsidRPr="00AB290F">
        <w:rPr>
          <w:rFonts w:ascii="Times New Roman" w:hAnsi="Times New Roman" w:cs="Times New Roman"/>
          <w:bCs/>
          <w:i/>
          <w:iCs/>
          <w:sz w:val="20"/>
          <w:szCs w:val="20"/>
        </w:rPr>
        <w:t>Human resources practices and continuous improvement and learning across cultures</w:t>
      </w:r>
      <w:r w:rsidRPr="00AB290F">
        <w:rPr>
          <w:rFonts w:ascii="Times New Roman" w:hAnsi="Times New Roman" w:cs="Times New Roman"/>
          <w:bCs/>
          <w:sz w:val="20"/>
          <w:szCs w:val="20"/>
        </w:rPr>
        <w:t xml:space="preserve">. </w:t>
      </w:r>
      <w:r w:rsidRPr="00AB290F">
        <w:rPr>
          <w:rFonts w:ascii="Times New Roman" w:hAnsi="Times New Roman" w:cs="Times New Roman"/>
          <w:bCs/>
          <w:i/>
          <w:sz w:val="20"/>
          <w:szCs w:val="20"/>
        </w:rPr>
        <w:t>Journal of International Management, 28</w:t>
      </w:r>
      <w:r w:rsidRPr="00AB290F">
        <w:rPr>
          <w:rFonts w:ascii="Times New Roman" w:hAnsi="Times New Roman" w:cs="Times New Roman"/>
          <w:bCs/>
          <w:sz w:val="20"/>
          <w:szCs w:val="20"/>
        </w:rPr>
        <w:t>(4), 100972.</w:t>
      </w:r>
    </w:p>
    <w:p w:rsidR="0035310B" w:rsidRPr="00AB290F" w:rsidRDefault="009F1243" w:rsidP="008766A0">
      <w:pPr>
        <w:spacing w:after="0" w:line="240" w:lineRule="auto"/>
        <w:ind w:left="425"/>
        <w:jc w:val="both"/>
        <w:rPr>
          <w:rFonts w:ascii="Times New Roman" w:hAnsi="Times New Roman" w:cs="Times New Roman"/>
          <w:bCs/>
          <w:sz w:val="20"/>
          <w:szCs w:val="20"/>
        </w:rPr>
      </w:pPr>
      <w:hyperlink r:id="rId14" w:history="1">
        <w:r w:rsidR="0035310B" w:rsidRPr="00AB290F">
          <w:rPr>
            <w:rStyle w:val="a3"/>
            <w:rFonts w:ascii="Times New Roman" w:hAnsi="Times New Roman" w:cs="Times New Roman"/>
            <w:bCs/>
            <w:color w:val="auto"/>
            <w:sz w:val="20"/>
            <w:szCs w:val="20"/>
            <w:u w:val="none"/>
          </w:rPr>
          <w:t>https://doi.org/10.1016/j.intman.2022.100972</w:t>
        </w:r>
      </w:hyperlink>
      <w:r w:rsidR="0035310B" w:rsidRPr="00AB290F">
        <w:rPr>
          <w:rFonts w:ascii="Times New Roman" w:hAnsi="Times New Roman" w:cs="Times New Roman"/>
          <w:bCs/>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sz w:val="20"/>
          <w:szCs w:val="20"/>
        </w:rPr>
      </w:pPr>
      <w:r w:rsidRPr="00AB290F">
        <w:rPr>
          <w:rFonts w:ascii="Times New Roman" w:hAnsi="Times New Roman" w:cs="Times New Roman"/>
          <w:sz w:val="20"/>
          <w:szCs w:val="20"/>
        </w:rPr>
        <w:t>Siocon, G. (2023). Why is human resources important? 8 top reasons. Academy to Innovate HR. Retrieved from </w:t>
      </w:r>
      <w:hyperlink r:id="rId15" w:history="1">
        <w:r w:rsidRPr="00AB290F">
          <w:rPr>
            <w:rStyle w:val="a3"/>
            <w:rFonts w:ascii="Times New Roman" w:hAnsi="Times New Roman" w:cs="Times New Roman"/>
            <w:color w:val="auto"/>
            <w:sz w:val="20"/>
            <w:szCs w:val="20"/>
            <w:u w:val="none"/>
          </w:rPr>
          <w:t>https://www.aihr.com/blog/why-is-human-resources-hr-important/</w:t>
        </w:r>
      </w:hyperlink>
      <w:r w:rsidRPr="00AB290F">
        <w:rPr>
          <w:rFonts w:ascii="Times New Roman" w:hAnsi="Times New Roman" w:cs="Times New Roman"/>
          <w:sz w:val="20"/>
          <w:szCs w:val="20"/>
        </w:rPr>
        <w:t xml:space="preserve"> </w:t>
      </w:r>
    </w:p>
    <w:p w:rsidR="0035310B" w:rsidRPr="00AB290F" w:rsidRDefault="0035310B" w:rsidP="008766A0">
      <w:pPr>
        <w:spacing w:after="0" w:line="240" w:lineRule="auto"/>
        <w:ind w:left="425" w:hanging="425"/>
        <w:jc w:val="both"/>
        <w:rPr>
          <w:rFonts w:ascii="Times New Roman" w:hAnsi="Times New Roman" w:cs="Times New Roman"/>
          <w:bCs/>
          <w:sz w:val="20"/>
          <w:szCs w:val="20"/>
        </w:rPr>
      </w:pPr>
      <w:r w:rsidRPr="00AB290F">
        <w:rPr>
          <w:rFonts w:ascii="Times New Roman" w:hAnsi="Times New Roman" w:cs="Times New Roman"/>
          <w:bCs/>
          <w:sz w:val="20"/>
          <w:szCs w:val="20"/>
        </w:rPr>
        <w:t xml:space="preserve">Westover, J. H. (2025). </w:t>
      </w:r>
      <w:r w:rsidRPr="00AB290F">
        <w:rPr>
          <w:rFonts w:ascii="Times New Roman" w:hAnsi="Times New Roman" w:cs="Times New Roman"/>
          <w:sz w:val="20"/>
          <w:szCs w:val="20"/>
        </w:rPr>
        <w:t>The Future of HR Education</w:t>
      </w:r>
      <w:r w:rsidRPr="00AB290F">
        <w:rPr>
          <w:rFonts w:ascii="Times New Roman" w:hAnsi="Times New Roman" w:cs="Times New Roman"/>
          <w:bCs/>
          <w:sz w:val="20"/>
          <w:szCs w:val="20"/>
        </w:rPr>
        <w:t xml:space="preserve">. </w:t>
      </w:r>
      <w:r w:rsidRPr="00AB290F">
        <w:rPr>
          <w:rFonts w:ascii="Times New Roman" w:hAnsi="Times New Roman" w:cs="Times New Roman"/>
          <w:bCs/>
          <w:i/>
          <w:iCs/>
          <w:sz w:val="20"/>
          <w:szCs w:val="20"/>
        </w:rPr>
        <w:t>Human Capital Leadership Review</w:t>
      </w:r>
      <w:r w:rsidRPr="00AB290F">
        <w:rPr>
          <w:rFonts w:ascii="Times New Roman" w:hAnsi="Times New Roman" w:cs="Times New Roman"/>
          <w:bCs/>
          <w:sz w:val="20"/>
          <w:szCs w:val="20"/>
        </w:rPr>
        <w:t xml:space="preserve">, </w:t>
      </w:r>
      <w:r w:rsidRPr="00AB290F">
        <w:rPr>
          <w:rFonts w:ascii="Times New Roman" w:hAnsi="Times New Roman" w:cs="Times New Roman"/>
          <w:bCs/>
          <w:iCs/>
          <w:sz w:val="20"/>
          <w:szCs w:val="20"/>
        </w:rPr>
        <w:t>17(3</w:t>
      </w:r>
      <w:r w:rsidRPr="00AB290F">
        <w:rPr>
          <w:rFonts w:ascii="Times New Roman" w:hAnsi="Times New Roman" w:cs="Times New Roman"/>
          <w:bCs/>
          <w:sz w:val="20"/>
          <w:szCs w:val="20"/>
        </w:rPr>
        <w:t xml:space="preserve">). </w:t>
      </w:r>
    </w:p>
    <w:p w:rsidR="0035310B" w:rsidRPr="00AB290F" w:rsidRDefault="009F1243" w:rsidP="008766A0">
      <w:pPr>
        <w:spacing w:after="0" w:line="240" w:lineRule="auto"/>
        <w:ind w:left="425"/>
        <w:jc w:val="both"/>
        <w:rPr>
          <w:rFonts w:ascii="Times New Roman" w:hAnsi="Times New Roman" w:cs="Times New Roman"/>
          <w:bCs/>
          <w:sz w:val="20"/>
          <w:szCs w:val="20"/>
        </w:rPr>
      </w:pPr>
      <w:hyperlink r:id="rId16" w:history="1">
        <w:r w:rsidR="0035310B" w:rsidRPr="00AB290F">
          <w:rPr>
            <w:rStyle w:val="a3"/>
            <w:rFonts w:ascii="Times New Roman" w:hAnsi="Times New Roman" w:cs="Times New Roman"/>
            <w:bCs/>
            <w:color w:val="auto"/>
            <w:sz w:val="20"/>
            <w:szCs w:val="20"/>
            <w:u w:val="none"/>
          </w:rPr>
          <w:t>https://doi.org/10.70175/hclreview.2020.17.3.1.2</w:t>
        </w:r>
      </w:hyperlink>
      <w:r w:rsidR="0035310B" w:rsidRPr="00AB290F">
        <w:rPr>
          <w:rFonts w:ascii="Times New Roman" w:hAnsi="Times New Roman" w:cs="Times New Roman"/>
          <w:bCs/>
          <w:sz w:val="20"/>
          <w:szCs w:val="20"/>
        </w:rPr>
        <w:t xml:space="preserve"> </w:t>
      </w:r>
    </w:p>
    <w:p w:rsidR="0035310B" w:rsidRPr="00AB290F" w:rsidRDefault="0035310B" w:rsidP="008766A0">
      <w:pPr>
        <w:spacing w:line="240" w:lineRule="auto"/>
        <w:ind w:left="425" w:hanging="425"/>
        <w:jc w:val="both"/>
        <w:rPr>
          <w:rFonts w:ascii="Times New Roman" w:hAnsi="Times New Roman" w:cs="Times New Roman"/>
          <w:sz w:val="20"/>
          <w:szCs w:val="20"/>
        </w:rPr>
      </w:pPr>
      <w:r w:rsidRPr="00AB290F">
        <w:rPr>
          <w:rFonts w:ascii="Times New Roman" w:hAnsi="Times New Roman" w:cs="Times New Roman"/>
          <w:sz w:val="20"/>
          <w:szCs w:val="20"/>
        </w:rPr>
        <w:t xml:space="preserve">Zhang J, &amp; Chen Z. (2023). Exploring Human Resource Management Digital Transformation in the Digital Age. </w:t>
      </w:r>
      <w:r w:rsidRPr="00AB290F">
        <w:rPr>
          <w:rFonts w:ascii="Times New Roman" w:hAnsi="Times New Roman" w:cs="Times New Roman"/>
          <w:i/>
          <w:iCs/>
          <w:sz w:val="20"/>
          <w:szCs w:val="20"/>
        </w:rPr>
        <w:t>Journal of the Knowledge Economy</w:t>
      </w:r>
      <w:r w:rsidRPr="00AB290F">
        <w:rPr>
          <w:rFonts w:ascii="Times New Roman" w:hAnsi="Times New Roman" w:cs="Times New Roman"/>
          <w:sz w:val="20"/>
          <w:szCs w:val="20"/>
        </w:rPr>
        <w:t xml:space="preserve">, 15, 1482-1498. </w:t>
      </w:r>
      <w:hyperlink r:id="rId17" w:history="1">
        <w:r w:rsidRPr="00AB290F">
          <w:rPr>
            <w:rStyle w:val="a3"/>
            <w:rFonts w:ascii="Times New Roman" w:hAnsi="Times New Roman" w:cs="Times New Roman"/>
            <w:color w:val="auto"/>
            <w:sz w:val="20"/>
            <w:szCs w:val="20"/>
            <w:u w:val="none"/>
          </w:rPr>
          <w:t>https://doi.org/10.1007/s13132-023-01214-y</w:t>
        </w:r>
      </w:hyperlink>
      <w:r w:rsidRPr="00AB290F">
        <w:rPr>
          <w:rFonts w:ascii="Times New Roman" w:hAnsi="Times New Roman" w:cs="Times New Roman"/>
          <w:sz w:val="20"/>
          <w:szCs w:val="20"/>
        </w:rPr>
        <w:t xml:space="preserve"> </w:t>
      </w:r>
    </w:p>
    <w:p w:rsidR="0035310B" w:rsidRPr="0035310B" w:rsidRDefault="0035310B" w:rsidP="008766A0">
      <w:pPr>
        <w:spacing w:line="240" w:lineRule="auto"/>
        <w:jc w:val="both"/>
        <w:rPr>
          <w:rFonts w:ascii="Times New Roman" w:hAnsi="Times New Roman" w:cs="Times New Roman"/>
          <w:sz w:val="20"/>
          <w:szCs w:val="20"/>
        </w:rPr>
      </w:pPr>
    </w:p>
    <w:p w:rsidR="0035310B" w:rsidRPr="0035310B" w:rsidRDefault="0035310B" w:rsidP="008766A0">
      <w:pPr>
        <w:jc w:val="both"/>
        <w:rPr>
          <w:rFonts w:ascii="Times New Roman" w:hAnsi="Times New Roman" w:cs="Times New Roman"/>
          <w:sz w:val="20"/>
          <w:szCs w:val="20"/>
        </w:rPr>
      </w:pPr>
    </w:p>
    <w:sectPr w:rsidR="0035310B" w:rsidRPr="00353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F2A"/>
    <w:multiLevelType w:val="multilevel"/>
    <w:tmpl w:val="A5843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E4FF6"/>
    <w:multiLevelType w:val="multilevel"/>
    <w:tmpl w:val="C7709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14E91"/>
    <w:multiLevelType w:val="hybridMultilevel"/>
    <w:tmpl w:val="FE9A25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460042F5"/>
    <w:multiLevelType w:val="multilevel"/>
    <w:tmpl w:val="C7269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D212BA"/>
    <w:multiLevelType w:val="multilevel"/>
    <w:tmpl w:val="32DE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B75956"/>
    <w:multiLevelType w:val="multilevel"/>
    <w:tmpl w:val="1690DE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0B"/>
    <w:rsid w:val="000D21F3"/>
    <w:rsid w:val="000E0813"/>
    <w:rsid w:val="000F4DC4"/>
    <w:rsid w:val="0035310B"/>
    <w:rsid w:val="003F59FD"/>
    <w:rsid w:val="00532A1F"/>
    <w:rsid w:val="006D5419"/>
    <w:rsid w:val="007443BD"/>
    <w:rsid w:val="008766A0"/>
    <w:rsid w:val="009F1243"/>
    <w:rsid w:val="00A11699"/>
    <w:rsid w:val="00AB290F"/>
    <w:rsid w:val="00DE3D61"/>
    <w:rsid w:val="00FF73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paragraph" w:styleId="2">
    <w:name w:val="heading 2"/>
    <w:basedOn w:val="Normal"/>
    <w:link w:val="2Char"/>
    <w:uiPriority w:val="9"/>
    <w:qFormat/>
    <w:rsid w:val="0035310B"/>
    <w:pPr>
      <w:spacing w:before="100" w:beforeAutospacing="1" w:after="100" w:afterAutospacing="1" w:line="240" w:lineRule="auto"/>
      <w:outlineLvl w:val="1"/>
    </w:pPr>
    <w:rPr>
      <w:rFonts w:ascii="Times New Roman" w:eastAsia="Times New Roman" w:hAnsi="Times New Roman" w:cs="Times New Roman"/>
      <w:b/>
      <w:bCs/>
      <w:sz w:val="36"/>
      <w:szCs w:val="36"/>
      <w:lang w:val="sr-Latn-RS" w:eastAsia="sr-Latn-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2Char">
    <w:name w:val="Наслов 2 Char"/>
    <w:basedOn w:val="a"/>
    <w:link w:val="2"/>
    <w:uiPriority w:val="9"/>
    <w:rsid w:val="0035310B"/>
    <w:rPr>
      <w:rFonts w:ascii="Times New Roman" w:eastAsia="Times New Roman" w:hAnsi="Times New Roman" w:cs="Times New Roman"/>
      <w:b/>
      <w:bCs/>
      <w:sz w:val="36"/>
      <w:szCs w:val="36"/>
      <w:lang w:eastAsia="sr-Latn-RS"/>
    </w:rPr>
  </w:style>
  <w:style w:type="character" w:styleId="a2">
    <w:name w:val="Strong"/>
    <w:basedOn w:val="a"/>
    <w:uiPriority w:val="22"/>
    <w:qFormat/>
    <w:rsid w:val="0035310B"/>
    <w:rPr>
      <w:b/>
      <w:bCs/>
    </w:rPr>
  </w:style>
  <w:style w:type="paragraph" w:styleId="NormalWeb">
    <w:name w:val="Normal (Web)"/>
    <w:basedOn w:val="Normal"/>
    <w:uiPriority w:val="99"/>
    <w:unhideWhenUsed/>
    <w:rsid w:val="0035310B"/>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a3">
    <w:name w:val="Hyperlink"/>
    <w:basedOn w:val="a"/>
    <w:uiPriority w:val="99"/>
    <w:unhideWhenUsed/>
    <w:rsid w:val="0035310B"/>
    <w:rPr>
      <w:color w:val="0000FF" w:themeColor="hyperlink"/>
      <w:u w:val="single"/>
    </w:rPr>
  </w:style>
  <w:style w:type="paragraph" w:styleId="a4">
    <w:name w:val="List Paragraph"/>
    <w:basedOn w:val="Normal"/>
    <w:uiPriority w:val="34"/>
    <w:qFormat/>
    <w:rsid w:val="008766A0"/>
    <w:pPr>
      <w:ind w:left="720"/>
      <w:contextualSpacing/>
    </w:pPr>
  </w:style>
  <w:style w:type="paragraph" w:styleId="a5">
    <w:name w:val="Balloon Text"/>
    <w:basedOn w:val="Normal"/>
    <w:link w:val="Char"/>
    <w:uiPriority w:val="99"/>
    <w:semiHidden/>
    <w:unhideWhenUsed/>
    <w:rsid w:val="000E0813"/>
    <w:pPr>
      <w:spacing w:after="0" w:line="240" w:lineRule="auto"/>
    </w:pPr>
    <w:rPr>
      <w:rFonts w:ascii="Tahoma" w:hAnsi="Tahoma" w:cs="Tahoma"/>
      <w:sz w:val="16"/>
      <w:szCs w:val="16"/>
    </w:rPr>
  </w:style>
  <w:style w:type="character" w:customStyle="1" w:styleId="Char">
    <w:name w:val="Текст у балончићу Char"/>
    <w:basedOn w:val="a"/>
    <w:link w:val="a5"/>
    <w:uiPriority w:val="99"/>
    <w:semiHidden/>
    <w:rsid w:val="000E0813"/>
    <w:rPr>
      <w:rFonts w:ascii="Tahoma" w:hAnsi="Tahoma" w:cs="Tahoma"/>
      <w:sz w:val="16"/>
      <w:szCs w:val="16"/>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paragraph" w:styleId="2">
    <w:name w:val="heading 2"/>
    <w:basedOn w:val="Normal"/>
    <w:link w:val="2Char"/>
    <w:uiPriority w:val="9"/>
    <w:qFormat/>
    <w:rsid w:val="0035310B"/>
    <w:pPr>
      <w:spacing w:before="100" w:beforeAutospacing="1" w:after="100" w:afterAutospacing="1" w:line="240" w:lineRule="auto"/>
      <w:outlineLvl w:val="1"/>
    </w:pPr>
    <w:rPr>
      <w:rFonts w:ascii="Times New Roman" w:eastAsia="Times New Roman" w:hAnsi="Times New Roman" w:cs="Times New Roman"/>
      <w:b/>
      <w:bCs/>
      <w:sz w:val="36"/>
      <w:szCs w:val="36"/>
      <w:lang w:val="sr-Latn-RS" w:eastAsia="sr-Latn-R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2Char">
    <w:name w:val="Наслов 2 Char"/>
    <w:basedOn w:val="a"/>
    <w:link w:val="2"/>
    <w:uiPriority w:val="9"/>
    <w:rsid w:val="0035310B"/>
    <w:rPr>
      <w:rFonts w:ascii="Times New Roman" w:eastAsia="Times New Roman" w:hAnsi="Times New Roman" w:cs="Times New Roman"/>
      <w:b/>
      <w:bCs/>
      <w:sz w:val="36"/>
      <w:szCs w:val="36"/>
      <w:lang w:eastAsia="sr-Latn-RS"/>
    </w:rPr>
  </w:style>
  <w:style w:type="character" w:styleId="a2">
    <w:name w:val="Strong"/>
    <w:basedOn w:val="a"/>
    <w:uiPriority w:val="22"/>
    <w:qFormat/>
    <w:rsid w:val="0035310B"/>
    <w:rPr>
      <w:b/>
      <w:bCs/>
    </w:rPr>
  </w:style>
  <w:style w:type="paragraph" w:styleId="NormalWeb">
    <w:name w:val="Normal (Web)"/>
    <w:basedOn w:val="Normal"/>
    <w:uiPriority w:val="99"/>
    <w:unhideWhenUsed/>
    <w:rsid w:val="0035310B"/>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a3">
    <w:name w:val="Hyperlink"/>
    <w:basedOn w:val="a"/>
    <w:uiPriority w:val="99"/>
    <w:unhideWhenUsed/>
    <w:rsid w:val="0035310B"/>
    <w:rPr>
      <w:color w:val="0000FF" w:themeColor="hyperlink"/>
      <w:u w:val="single"/>
    </w:rPr>
  </w:style>
  <w:style w:type="paragraph" w:styleId="a4">
    <w:name w:val="List Paragraph"/>
    <w:basedOn w:val="Normal"/>
    <w:uiPriority w:val="34"/>
    <w:qFormat/>
    <w:rsid w:val="008766A0"/>
    <w:pPr>
      <w:ind w:left="720"/>
      <w:contextualSpacing/>
    </w:pPr>
  </w:style>
  <w:style w:type="paragraph" w:styleId="a5">
    <w:name w:val="Balloon Text"/>
    <w:basedOn w:val="Normal"/>
    <w:link w:val="Char"/>
    <w:uiPriority w:val="99"/>
    <w:semiHidden/>
    <w:unhideWhenUsed/>
    <w:rsid w:val="000E0813"/>
    <w:pPr>
      <w:spacing w:after="0" w:line="240" w:lineRule="auto"/>
    </w:pPr>
    <w:rPr>
      <w:rFonts w:ascii="Tahoma" w:hAnsi="Tahoma" w:cs="Tahoma"/>
      <w:sz w:val="16"/>
      <w:szCs w:val="16"/>
    </w:rPr>
  </w:style>
  <w:style w:type="character" w:customStyle="1" w:styleId="Char">
    <w:name w:val="Текст у балончићу Char"/>
    <w:basedOn w:val="a"/>
    <w:link w:val="a5"/>
    <w:uiPriority w:val="99"/>
    <w:semiHidden/>
    <w:rsid w:val="000E0813"/>
    <w:rPr>
      <w:rFonts w:ascii="Tahoma" w:hAnsi="Tahoma" w:cs="Tahoma"/>
      <w:sz w:val="16"/>
      <w:szCs w:val="16"/>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894143">
      <w:bodyDiv w:val="1"/>
      <w:marLeft w:val="0"/>
      <w:marRight w:val="0"/>
      <w:marTop w:val="0"/>
      <w:marBottom w:val="0"/>
      <w:divBdr>
        <w:top w:val="none" w:sz="0" w:space="0" w:color="auto"/>
        <w:left w:val="none" w:sz="0" w:space="0" w:color="auto"/>
        <w:bottom w:val="none" w:sz="0" w:space="0" w:color="auto"/>
        <w:right w:val="none" w:sz="0" w:space="0" w:color="auto"/>
      </w:divBdr>
      <w:divsChild>
        <w:div w:id="1741365171">
          <w:marLeft w:val="0"/>
          <w:marRight w:val="0"/>
          <w:marTop w:val="0"/>
          <w:marBottom w:val="0"/>
          <w:divBdr>
            <w:top w:val="none" w:sz="0" w:space="0" w:color="auto"/>
            <w:left w:val="none" w:sz="0" w:space="0" w:color="auto"/>
            <w:bottom w:val="none" w:sz="0" w:space="0" w:color="auto"/>
            <w:right w:val="none" w:sz="0" w:space="0" w:color="auto"/>
          </w:divBdr>
          <w:divsChild>
            <w:div w:id="808395968">
              <w:marLeft w:val="0"/>
              <w:marRight w:val="0"/>
              <w:marTop w:val="0"/>
              <w:marBottom w:val="0"/>
              <w:divBdr>
                <w:top w:val="none" w:sz="0" w:space="0" w:color="auto"/>
                <w:left w:val="none" w:sz="0" w:space="0" w:color="auto"/>
                <w:bottom w:val="none" w:sz="0" w:space="0" w:color="auto"/>
                <w:right w:val="none" w:sz="0" w:space="0" w:color="auto"/>
              </w:divBdr>
              <w:divsChild>
                <w:div w:id="768937786">
                  <w:marLeft w:val="0"/>
                  <w:marRight w:val="0"/>
                  <w:marTop w:val="0"/>
                  <w:marBottom w:val="0"/>
                  <w:divBdr>
                    <w:top w:val="none" w:sz="0" w:space="0" w:color="auto"/>
                    <w:left w:val="none" w:sz="0" w:space="0" w:color="auto"/>
                    <w:bottom w:val="none" w:sz="0" w:space="0" w:color="auto"/>
                    <w:right w:val="none" w:sz="0" w:space="0" w:color="auto"/>
                  </w:divBdr>
                  <w:divsChild>
                    <w:div w:id="311448676">
                      <w:marLeft w:val="0"/>
                      <w:marRight w:val="0"/>
                      <w:marTop w:val="0"/>
                      <w:marBottom w:val="0"/>
                      <w:divBdr>
                        <w:top w:val="none" w:sz="0" w:space="0" w:color="auto"/>
                        <w:left w:val="none" w:sz="0" w:space="0" w:color="auto"/>
                        <w:bottom w:val="none" w:sz="0" w:space="0" w:color="auto"/>
                        <w:right w:val="none" w:sz="0" w:space="0" w:color="auto"/>
                      </w:divBdr>
                      <w:divsChild>
                        <w:div w:id="902519304">
                          <w:marLeft w:val="0"/>
                          <w:marRight w:val="0"/>
                          <w:marTop w:val="0"/>
                          <w:marBottom w:val="0"/>
                          <w:divBdr>
                            <w:top w:val="none" w:sz="0" w:space="0" w:color="auto"/>
                            <w:left w:val="none" w:sz="0" w:space="0" w:color="auto"/>
                            <w:bottom w:val="none" w:sz="0" w:space="0" w:color="auto"/>
                            <w:right w:val="none" w:sz="0" w:space="0" w:color="auto"/>
                          </w:divBdr>
                          <w:divsChild>
                            <w:div w:id="17637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8197">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1964336609">
              <w:marLeft w:val="0"/>
              <w:marRight w:val="0"/>
              <w:marTop w:val="0"/>
              <w:marBottom w:val="0"/>
              <w:divBdr>
                <w:top w:val="none" w:sz="0" w:space="0" w:color="auto"/>
                <w:left w:val="none" w:sz="0" w:space="0" w:color="auto"/>
                <w:bottom w:val="none" w:sz="0" w:space="0" w:color="auto"/>
                <w:right w:val="none" w:sz="0" w:space="0" w:color="auto"/>
              </w:divBdr>
              <w:divsChild>
                <w:div w:id="1520851350">
                  <w:marLeft w:val="0"/>
                  <w:marRight w:val="0"/>
                  <w:marTop w:val="0"/>
                  <w:marBottom w:val="0"/>
                  <w:divBdr>
                    <w:top w:val="none" w:sz="0" w:space="0" w:color="auto"/>
                    <w:left w:val="none" w:sz="0" w:space="0" w:color="auto"/>
                    <w:bottom w:val="none" w:sz="0" w:space="0" w:color="auto"/>
                    <w:right w:val="none" w:sz="0" w:space="0" w:color="auto"/>
                  </w:divBdr>
                  <w:divsChild>
                    <w:div w:id="1755278533">
                      <w:marLeft w:val="0"/>
                      <w:marRight w:val="0"/>
                      <w:marTop w:val="0"/>
                      <w:marBottom w:val="0"/>
                      <w:divBdr>
                        <w:top w:val="none" w:sz="0" w:space="0" w:color="auto"/>
                        <w:left w:val="none" w:sz="0" w:space="0" w:color="auto"/>
                        <w:bottom w:val="none" w:sz="0" w:space="0" w:color="auto"/>
                        <w:right w:val="none" w:sz="0" w:space="0" w:color="auto"/>
                      </w:divBdr>
                      <w:divsChild>
                        <w:div w:id="1138231186">
                          <w:marLeft w:val="0"/>
                          <w:marRight w:val="0"/>
                          <w:marTop w:val="0"/>
                          <w:marBottom w:val="0"/>
                          <w:divBdr>
                            <w:top w:val="none" w:sz="0" w:space="0" w:color="auto"/>
                            <w:left w:val="none" w:sz="0" w:space="0" w:color="auto"/>
                            <w:bottom w:val="none" w:sz="0" w:space="0" w:color="auto"/>
                            <w:right w:val="none" w:sz="0" w:space="0" w:color="auto"/>
                          </w:divBdr>
                          <w:divsChild>
                            <w:div w:id="360668785">
                              <w:marLeft w:val="0"/>
                              <w:marRight w:val="0"/>
                              <w:marTop w:val="0"/>
                              <w:marBottom w:val="0"/>
                              <w:divBdr>
                                <w:top w:val="none" w:sz="0" w:space="0" w:color="auto"/>
                                <w:left w:val="none" w:sz="0" w:space="0" w:color="auto"/>
                                <w:bottom w:val="none" w:sz="0" w:space="0" w:color="auto"/>
                                <w:right w:val="none" w:sz="0" w:space="0" w:color="auto"/>
                              </w:divBdr>
                              <w:divsChild>
                                <w:div w:id="453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333794">
      <w:bodyDiv w:val="1"/>
      <w:marLeft w:val="0"/>
      <w:marRight w:val="0"/>
      <w:marTop w:val="0"/>
      <w:marBottom w:val="0"/>
      <w:divBdr>
        <w:top w:val="none" w:sz="0" w:space="0" w:color="auto"/>
        <w:left w:val="none" w:sz="0" w:space="0" w:color="auto"/>
        <w:bottom w:val="none" w:sz="0" w:space="0" w:color="auto"/>
        <w:right w:val="none" w:sz="0" w:space="0" w:color="auto"/>
      </w:divBdr>
    </w:div>
    <w:div w:id="847719264">
      <w:bodyDiv w:val="1"/>
      <w:marLeft w:val="0"/>
      <w:marRight w:val="0"/>
      <w:marTop w:val="0"/>
      <w:marBottom w:val="0"/>
      <w:divBdr>
        <w:top w:val="none" w:sz="0" w:space="0" w:color="auto"/>
        <w:left w:val="none" w:sz="0" w:space="0" w:color="auto"/>
        <w:bottom w:val="none" w:sz="0" w:space="0" w:color="auto"/>
        <w:right w:val="none" w:sz="0" w:space="0" w:color="auto"/>
      </w:divBdr>
      <w:divsChild>
        <w:div w:id="791675578">
          <w:marLeft w:val="0"/>
          <w:marRight w:val="0"/>
          <w:marTop w:val="0"/>
          <w:marBottom w:val="0"/>
          <w:divBdr>
            <w:top w:val="none" w:sz="0" w:space="0" w:color="auto"/>
            <w:left w:val="none" w:sz="0" w:space="0" w:color="auto"/>
            <w:bottom w:val="none" w:sz="0" w:space="0" w:color="auto"/>
            <w:right w:val="none" w:sz="0" w:space="0" w:color="auto"/>
          </w:divBdr>
          <w:divsChild>
            <w:div w:id="326323960">
              <w:marLeft w:val="0"/>
              <w:marRight w:val="0"/>
              <w:marTop w:val="0"/>
              <w:marBottom w:val="0"/>
              <w:divBdr>
                <w:top w:val="none" w:sz="0" w:space="0" w:color="auto"/>
                <w:left w:val="none" w:sz="0" w:space="0" w:color="auto"/>
                <w:bottom w:val="none" w:sz="0" w:space="0" w:color="auto"/>
                <w:right w:val="none" w:sz="0" w:space="0" w:color="auto"/>
              </w:divBdr>
              <w:divsChild>
                <w:div w:id="1285696222">
                  <w:marLeft w:val="0"/>
                  <w:marRight w:val="0"/>
                  <w:marTop w:val="0"/>
                  <w:marBottom w:val="0"/>
                  <w:divBdr>
                    <w:top w:val="none" w:sz="0" w:space="0" w:color="auto"/>
                    <w:left w:val="none" w:sz="0" w:space="0" w:color="auto"/>
                    <w:bottom w:val="none" w:sz="0" w:space="0" w:color="auto"/>
                    <w:right w:val="none" w:sz="0" w:space="0" w:color="auto"/>
                  </w:divBdr>
                  <w:divsChild>
                    <w:div w:id="646401148">
                      <w:marLeft w:val="0"/>
                      <w:marRight w:val="0"/>
                      <w:marTop w:val="0"/>
                      <w:marBottom w:val="0"/>
                      <w:divBdr>
                        <w:top w:val="none" w:sz="0" w:space="0" w:color="auto"/>
                        <w:left w:val="none" w:sz="0" w:space="0" w:color="auto"/>
                        <w:bottom w:val="none" w:sz="0" w:space="0" w:color="auto"/>
                        <w:right w:val="none" w:sz="0" w:space="0" w:color="auto"/>
                      </w:divBdr>
                      <w:divsChild>
                        <w:div w:id="344017803">
                          <w:marLeft w:val="0"/>
                          <w:marRight w:val="0"/>
                          <w:marTop w:val="0"/>
                          <w:marBottom w:val="0"/>
                          <w:divBdr>
                            <w:top w:val="none" w:sz="0" w:space="0" w:color="auto"/>
                            <w:left w:val="none" w:sz="0" w:space="0" w:color="auto"/>
                            <w:bottom w:val="none" w:sz="0" w:space="0" w:color="auto"/>
                            <w:right w:val="none" w:sz="0" w:space="0" w:color="auto"/>
                          </w:divBdr>
                          <w:divsChild>
                            <w:div w:id="1821116787">
                              <w:marLeft w:val="0"/>
                              <w:marRight w:val="0"/>
                              <w:marTop w:val="0"/>
                              <w:marBottom w:val="0"/>
                              <w:divBdr>
                                <w:top w:val="none" w:sz="0" w:space="0" w:color="auto"/>
                                <w:left w:val="none" w:sz="0" w:space="0" w:color="auto"/>
                                <w:bottom w:val="none" w:sz="0" w:space="0" w:color="auto"/>
                                <w:right w:val="none" w:sz="0" w:space="0" w:color="auto"/>
                              </w:divBdr>
                              <w:divsChild>
                                <w:div w:id="600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471867">
      <w:bodyDiv w:val="1"/>
      <w:marLeft w:val="0"/>
      <w:marRight w:val="0"/>
      <w:marTop w:val="0"/>
      <w:marBottom w:val="0"/>
      <w:divBdr>
        <w:top w:val="none" w:sz="0" w:space="0" w:color="auto"/>
        <w:left w:val="none" w:sz="0" w:space="0" w:color="auto"/>
        <w:bottom w:val="none" w:sz="0" w:space="0" w:color="auto"/>
        <w:right w:val="none" w:sz="0" w:space="0" w:color="auto"/>
      </w:divBdr>
    </w:div>
    <w:div w:id="1107433035">
      <w:bodyDiv w:val="1"/>
      <w:marLeft w:val="0"/>
      <w:marRight w:val="0"/>
      <w:marTop w:val="0"/>
      <w:marBottom w:val="0"/>
      <w:divBdr>
        <w:top w:val="none" w:sz="0" w:space="0" w:color="auto"/>
        <w:left w:val="none" w:sz="0" w:space="0" w:color="auto"/>
        <w:bottom w:val="none" w:sz="0" w:space="0" w:color="auto"/>
        <w:right w:val="none" w:sz="0" w:space="0" w:color="auto"/>
      </w:divBdr>
    </w:div>
    <w:div w:id="1552228810">
      <w:bodyDiv w:val="1"/>
      <w:marLeft w:val="0"/>
      <w:marRight w:val="0"/>
      <w:marTop w:val="0"/>
      <w:marBottom w:val="0"/>
      <w:divBdr>
        <w:top w:val="none" w:sz="0" w:space="0" w:color="auto"/>
        <w:left w:val="none" w:sz="0" w:space="0" w:color="auto"/>
        <w:bottom w:val="none" w:sz="0" w:space="0" w:color="auto"/>
        <w:right w:val="none" w:sz="0" w:space="0" w:color="auto"/>
      </w:divBdr>
      <w:divsChild>
        <w:div w:id="318315958">
          <w:marLeft w:val="0"/>
          <w:marRight w:val="0"/>
          <w:marTop w:val="0"/>
          <w:marBottom w:val="0"/>
          <w:divBdr>
            <w:top w:val="none" w:sz="0" w:space="0" w:color="auto"/>
            <w:left w:val="none" w:sz="0" w:space="0" w:color="auto"/>
            <w:bottom w:val="none" w:sz="0" w:space="0" w:color="auto"/>
            <w:right w:val="none" w:sz="0" w:space="0" w:color="auto"/>
          </w:divBdr>
          <w:divsChild>
            <w:div w:id="1149638571">
              <w:marLeft w:val="0"/>
              <w:marRight w:val="0"/>
              <w:marTop w:val="0"/>
              <w:marBottom w:val="0"/>
              <w:divBdr>
                <w:top w:val="none" w:sz="0" w:space="0" w:color="auto"/>
                <w:left w:val="none" w:sz="0" w:space="0" w:color="auto"/>
                <w:bottom w:val="none" w:sz="0" w:space="0" w:color="auto"/>
                <w:right w:val="none" w:sz="0" w:space="0" w:color="auto"/>
              </w:divBdr>
              <w:divsChild>
                <w:div w:id="594170280">
                  <w:marLeft w:val="0"/>
                  <w:marRight w:val="0"/>
                  <w:marTop w:val="0"/>
                  <w:marBottom w:val="0"/>
                  <w:divBdr>
                    <w:top w:val="none" w:sz="0" w:space="0" w:color="auto"/>
                    <w:left w:val="none" w:sz="0" w:space="0" w:color="auto"/>
                    <w:bottom w:val="none" w:sz="0" w:space="0" w:color="auto"/>
                    <w:right w:val="none" w:sz="0" w:space="0" w:color="auto"/>
                  </w:divBdr>
                  <w:divsChild>
                    <w:div w:id="2074690178">
                      <w:marLeft w:val="0"/>
                      <w:marRight w:val="0"/>
                      <w:marTop w:val="0"/>
                      <w:marBottom w:val="0"/>
                      <w:divBdr>
                        <w:top w:val="none" w:sz="0" w:space="0" w:color="auto"/>
                        <w:left w:val="none" w:sz="0" w:space="0" w:color="auto"/>
                        <w:bottom w:val="none" w:sz="0" w:space="0" w:color="auto"/>
                        <w:right w:val="none" w:sz="0" w:space="0" w:color="auto"/>
                      </w:divBdr>
                      <w:divsChild>
                        <w:div w:id="636497413">
                          <w:marLeft w:val="0"/>
                          <w:marRight w:val="0"/>
                          <w:marTop w:val="0"/>
                          <w:marBottom w:val="0"/>
                          <w:divBdr>
                            <w:top w:val="none" w:sz="0" w:space="0" w:color="auto"/>
                            <w:left w:val="none" w:sz="0" w:space="0" w:color="auto"/>
                            <w:bottom w:val="none" w:sz="0" w:space="0" w:color="auto"/>
                            <w:right w:val="none" w:sz="0" w:space="0" w:color="auto"/>
                          </w:divBdr>
                          <w:divsChild>
                            <w:div w:id="14550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501023">
      <w:bodyDiv w:val="1"/>
      <w:marLeft w:val="0"/>
      <w:marRight w:val="0"/>
      <w:marTop w:val="0"/>
      <w:marBottom w:val="0"/>
      <w:divBdr>
        <w:top w:val="none" w:sz="0" w:space="0" w:color="auto"/>
        <w:left w:val="none" w:sz="0" w:space="0" w:color="auto"/>
        <w:bottom w:val="none" w:sz="0" w:space="0" w:color="auto"/>
        <w:right w:val="none" w:sz="0" w:space="0" w:color="auto"/>
      </w:divBdr>
    </w:div>
    <w:div w:id="1673412190">
      <w:bodyDiv w:val="1"/>
      <w:marLeft w:val="0"/>
      <w:marRight w:val="0"/>
      <w:marTop w:val="0"/>
      <w:marBottom w:val="0"/>
      <w:divBdr>
        <w:top w:val="none" w:sz="0" w:space="0" w:color="auto"/>
        <w:left w:val="none" w:sz="0" w:space="0" w:color="auto"/>
        <w:bottom w:val="none" w:sz="0" w:space="0" w:color="auto"/>
        <w:right w:val="none" w:sz="0" w:space="0" w:color="auto"/>
      </w:divBdr>
    </w:div>
    <w:div w:id="1688674129">
      <w:bodyDiv w:val="1"/>
      <w:marLeft w:val="0"/>
      <w:marRight w:val="0"/>
      <w:marTop w:val="0"/>
      <w:marBottom w:val="0"/>
      <w:divBdr>
        <w:top w:val="none" w:sz="0" w:space="0" w:color="auto"/>
        <w:left w:val="none" w:sz="0" w:space="0" w:color="auto"/>
        <w:bottom w:val="none" w:sz="0" w:space="0" w:color="auto"/>
        <w:right w:val="none" w:sz="0" w:space="0" w:color="auto"/>
      </w:divBdr>
    </w:div>
    <w:div w:id="1795635447">
      <w:bodyDiv w:val="1"/>
      <w:marLeft w:val="0"/>
      <w:marRight w:val="0"/>
      <w:marTop w:val="0"/>
      <w:marBottom w:val="0"/>
      <w:divBdr>
        <w:top w:val="none" w:sz="0" w:space="0" w:color="auto"/>
        <w:left w:val="none" w:sz="0" w:space="0" w:color="auto"/>
        <w:bottom w:val="none" w:sz="0" w:space="0" w:color="auto"/>
        <w:right w:val="none" w:sz="0" w:space="0" w:color="auto"/>
      </w:divBdr>
      <w:divsChild>
        <w:div w:id="677849941">
          <w:marLeft w:val="0"/>
          <w:marRight w:val="0"/>
          <w:marTop w:val="0"/>
          <w:marBottom w:val="0"/>
          <w:divBdr>
            <w:top w:val="none" w:sz="0" w:space="0" w:color="auto"/>
            <w:left w:val="none" w:sz="0" w:space="0" w:color="auto"/>
            <w:bottom w:val="none" w:sz="0" w:space="0" w:color="auto"/>
            <w:right w:val="none" w:sz="0" w:space="0" w:color="auto"/>
          </w:divBdr>
          <w:divsChild>
            <w:div w:id="2033215256">
              <w:marLeft w:val="0"/>
              <w:marRight w:val="0"/>
              <w:marTop w:val="0"/>
              <w:marBottom w:val="0"/>
              <w:divBdr>
                <w:top w:val="none" w:sz="0" w:space="0" w:color="auto"/>
                <w:left w:val="none" w:sz="0" w:space="0" w:color="auto"/>
                <w:bottom w:val="none" w:sz="0" w:space="0" w:color="auto"/>
                <w:right w:val="none" w:sz="0" w:space="0" w:color="auto"/>
              </w:divBdr>
              <w:divsChild>
                <w:div w:id="1179469021">
                  <w:marLeft w:val="0"/>
                  <w:marRight w:val="0"/>
                  <w:marTop w:val="0"/>
                  <w:marBottom w:val="0"/>
                  <w:divBdr>
                    <w:top w:val="none" w:sz="0" w:space="0" w:color="auto"/>
                    <w:left w:val="none" w:sz="0" w:space="0" w:color="auto"/>
                    <w:bottom w:val="none" w:sz="0" w:space="0" w:color="auto"/>
                    <w:right w:val="none" w:sz="0" w:space="0" w:color="auto"/>
                  </w:divBdr>
                  <w:divsChild>
                    <w:div w:id="553084844">
                      <w:marLeft w:val="0"/>
                      <w:marRight w:val="0"/>
                      <w:marTop w:val="0"/>
                      <w:marBottom w:val="0"/>
                      <w:divBdr>
                        <w:top w:val="none" w:sz="0" w:space="0" w:color="auto"/>
                        <w:left w:val="none" w:sz="0" w:space="0" w:color="auto"/>
                        <w:bottom w:val="none" w:sz="0" w:space="0" w:color="auto"/>
                        <w:right w:val="none" w:sz="0" w:space="0" w:color="auto"/>
                      </w:divBdr>
                      <w:divsChild>
                        <w:div w:id="1253391368">
                          <w:marLeft w:val="0"/>
                          <w:marRight w:val="0"/>
                          <w:marTop w:val="0"/>
                          <w:marBottom w:val="0"/>
                          <w:divBdr>
                            <w:top w:val="none" w:sz="0" w:space="0" w:color="auto"/>
                            <w:left w:val="none" w:sz="0" w:space="0" w:color="auto"/>
                            <w:bottom w:val="none" w:sz="0" w:space="0" w:color="auto"/>
                            <w:right w:val="none" w:sz="0" w:space="0" w:color="auto"/>
                          </w:divBdr>
                          <w:divsChild>
                            <w:div w:id="10236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98769">
      <w:bodyDiv w:val="1"/>
      <w:marLeft w:val="0"/>
      <w:marRight w:val="0"/>
      <w:marTop w:val="0"/>
      <w:marBottom w:val="0"/>
      <w:divBdr>
        <w:top w:val="none" w:sz="0" w:space="0" w:color="auto"/>
        <w:left w:val="none" w:sz="0" w:space="0" w:color="auto"/>
        <w:bottom w:val="none" w:sz="0" w:space="0" w:color="auto"/>
        <w:right w:val="none" w:sz="0" w:space="0" w:color="auto"/>
      </w:divBdr>
      <w:divsChild>
        <w:div w:id="801271589">
          <w:marLeft w:val="0"/>
          <w:marRight w:val="0"/>
          <w:marTop w:val="0"/>
          <w:marBottom w:val="0"/>
          <w:divBdr>
            <w:top w:val="none" w:sz="0" w:space="0" w:color="auto"/>
            <w:left w:val="none" w:sz="0" w:space="0" w:color="auto"/>
            <w:bottom w:val="none" w:sz="0" w:space="0" w:color="auto"/>
            <w:right w:val="none" w:sz="0" w:space="0" w:color="auto"/>
          </w:divBdr>
          <w:divsChild>
            <w:div w:id="350105681">
              <w:marLeft w:val="0"/>
              <w:marRight w:val="0"/>
              <w:marTop w:val="0"/>
              <w:marBottom w:val="0"/>
              <w:divBdr>
                <w:top w:val="none" w:sz="0" w:space="0" w:color="auto"/>
                <w:left w:val="none" w:sz="0" w:space="0" w:color="auto"/>
                <w:bottom w:val="none" w:sz="0" w:space="0" w:color="auto"/>
                <w:right w:val="none" w:sz="0" w:space="0" w:color="auto"/>
              </w:divBdr>
              <w:divsChild>
                <w:div w:id="1062873708">
                  <w:marLeft w:val="0"/>
                  <w:marRight w:val="0"/>
                  <w:marTop w:val="0"/>
                  <w:marBottom w:val="0"/>
                  <w:divBdr>
                    <w:top w:val="none" w:sz="0" w:space="0" w:color="auto"/>
                    <w:left w:val="none" w:sz="0" w:space="0" w:color="auto"/>
                    <w:bottom w:val="none" w:sz="0" w:space="0" w:color="auto"/>
                    <w:right w:val="none" w:sz="0" w:space="0" w:color="auto"/>
                  </w:divBdr>
                  <w:divsChild>
                    <w:div w:id="21142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787/9789264311756-e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oi.org/10.47191/ijmra/v7-i07-25" TargetMode="External"/><Relationship Id="rId17" Type="http://schemas.openxmlformats.org/officeDocument/2006/relationships/hyperlink" Target="https://doi.org/10.1007/s13132-023-01214-y" TargetMode="External"/><Relationship Id="rId2" Type="http://schemas.openxmlformats.org/officeDocument/2006/relationships/styles" Target="styles.xml"/><Relationship Id="rId16" Type="http://schemas.openxmlformats.org/officeDocument/2006/relationships/hyperlink" Target="https://doi.org/10.70175/hclreview.2020.17.3.1.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olistiquetraining.com/en/news/the-importance-of-hr-marketing-building-a-strong-workforce" TargetMode="External"/><Relationship Id="rId5" Type="http://schemas.openxmlformats.org/officeDocument/2006/relationships/webSettings" Target="webSettings.xml"/><Relationship Id="rId15" Type="http://schemas.openxmlformats.org/officeDocument/2006/relationships/hyperlink" Target="https://www.aihr.com/blog/why-is-human-resources-hr-important/" TargetMode="External"/><Relationship Id="rId10" Type="http://schemas.openxmlformats.org/officeDocument/2006/relationships/hyperlink" Target="https://doi.org/10.24018/ejbmr.2024.9.6.25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ik.2023.100353" TargetMode="External"/><Relationship Id="rId14" Type="http://schemas.openxmlformats.org/officeDocument/2006/relationships/hyperlink" Target="https://doi.org/10.1016/j.intman.2022.100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3607</Words>
  <Characters>20565</Characters>
  <Application>Microsoft Office Word</Application>
  <DocSecurity>0</DocSecurity>
  <Lines>171</Lines>
  <Paragraphs>48</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vladan.b.stefanovic@outlook.com</cp:lastModifiedBy>
  <cp:revision>2</cp:revision>
  <dcterms:created xsi:type="dcterms:W3CDTF">2026-04-24T10:44:00Z</dcterms:created>
  <dcterms:modified xsi:type="dcterms:W3CDTF">2026-04-24T10:44:00Z</dcterms:modified>
</cp:coreProperties>
</file>